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75255" w14:textId="77777777" w:rsidR="004B0543" w:rsidRPr="000A4607" w:rsidRDefault="004B0543" w:rsidP="00F740E4">
      <w:pPr>
        <w:spacing w:line="276" w:lineRule="auto"/>
        <w:jc w:val="center"/>
        <w:rPr>
          <w:rFonts w:ascii="Arial" w:hAnsi="Arial" w:cs="Arial"/>
          <w:b/>
          <w:color w:val="365F91" w:themeColor="accent1" w:themeShade="BF"/>
          <w:sz w:val="40"/>
          <w:szCs w:val="40"/>
          <w:lang w:val="en-GB"/>
        </w:rPr>
      </w:pPr>
    </w:p>
    <w:p w14:paraId="2D8DB2C3" w14:textId="0D31A00A" w:rsidR="00C90F10" w:rsidRPr="000A4607" w:rsidRDefault="00566AE9" w:rsidP="00F740E4">
      <w:pPr>
        <w:spacing w:line="276" w:lineRule="auto"/>
        <w:jc w:val="center"/>
        <w:rPr>
          <w:rFonts w:ascii="Arial" w:hAnsi="Arial" w:cs="Arial"/>
          <w:b/>
          <w:color w:val="365F91" w:themeColor="accent1" w:themeShade="BF"/>
          <w:sz w:val="40"/>
          <w:szCs w:val="40"/>
          <w:lang w:val="en-GB"/>
        </w:rPr>
      </w:pPr>
      <w:bookmarkStart w:id="0" w:name="_GoBack"/>
      <w:r>
        <w:rPr>
          <w:rFonts w:ascii="Arial" w:hAnsi="Arial" w:cs="Arial"/>
          <w:b/>
          <w:color w:val="365F91" w:themeColor="accent1" w:themeShade="BF"/>
          <w:sz w:val="40"/>
          <w:szCs w:val="40"/>
          <w:lang w:val="en-GB"/>
        </w:rPr>
        <w:t xml:space="preserve">Ka boljem regulisanju javno-privatnog partnerstva i koncesija u Crnoj Gori </w:t>
      </w:r>
    </w:p>
    <w:bookmarkEnd w:id="0"/>
    <w:p w14:paraId="300F9C76" w14:textId="77777777" w:rsidR="00C90F10" w:rsidRPr="000A4607" w:rsidRDefault="00C90F10" w:rsidP="00C90F10">
      <w:pPr>
        <w:rPr>
          <w:rFonts w:ascii="Arial" w:hAnsi="Arial" w:cs="Arial"/>
          <w:b/>
          <w:color w:val="365F91" w:themeColor="accent1" w:themeShade="BF"/>
          <w:sz w:val="40"/>
          <w:szCs w:val="40"/>
          <w:lang w:val="en-GB"/>
        </w:rPr>
      </w:pPr>
    </w:p>
    <w:p w14:paraId="61F2287E" w14:textId="77777777" w:rsidR="00C90F10" w:rsidRPr="000A4607" w:rsidRDefault="00C90F10" w:rsidP="00C90F10">
      <w:pPr>
        <w:jc w:val="center"/>
        <w:rPr>
          <w:rFonts w:ascii="Arial" w:hAnsi="Arial" w:cs="Arial"/>
          <w:i/>
          <w:color w:val="365F91" w:themeColor="accent1" w:themeShade="BF"/>
          <w:sz w:val="22"/>
          <w:szCs w:val="22"/>
          <w:lang w:val="en-GB"/>
        </w:rPr>
      </w:pPr>
      <w:r w:rsidRPr="000A4607">
        <w:rPr>
          <w:rFonts w:ascii="Arial" w:hAnsi="Arial" w:cs="Arial"/>
          <w:i/>
          <w:color w:val="365F91" w:themeColor="accent1" w:themeShade="BF"/>
          <w:sz w:val="22"/>
          <w:szCs w:val="22"/>
          <w:lang w:val="en-GB"/>
        </w:rPr>
        <w:t xml:space="preserve">Usvajanje posebnog pravnog okvira za javno-privatno partnerstvo je </w:t>
      </w:r>
    </w:p>
    <w:p w14:paraId="22084A82" w14:textId="77777777" w:rsidR="00C90F10" w:rsidRPr="000A4607" w:rsidRDefault="00C90F10" w:rsidP="00C90F10">
      <w:pPr>
        <w:jc w:val="center"/>
        <w:rPr>
          <w:rFonts w:ascii="Arial" w:hAnsi="Arial" w:cs="Arial"/>
          <w:i/>
          <w:color w:val="365F91" w:themeColor="accent1" w:themeShade="BF"/>
          <w:sz w:val="22"/>
          <w:szCs w:val="22"/>
          <w:lang w:val="en-GB"/>
        </w:rPr>
      </w:pPr>
      <w:r w:rsidRPr="000A4607">
        <w:rPr>
          <w:rFonts w:ascii="Arial" w:hAnsi="Arial" w:cs="Arial"/>
          <w:i/>
          <w:color w:val="365F91" w:themeColor="accent1" w:themeShade="BF"/>
          <w:sz w:val="22"/>
          <w:szCs w:val="22"/>
          <w:lang w:val="en-GB"/>
        </w:rPr>
        <w:t xml:space="preserve">trend koji je prisutan u poslednjih deset godina u većini zemalja u tranziciji. </w:t>
      </w:r>
    </w:p>
    <w:p w14:paraId="331F23CF" w14:textId="43615242" w:rsidR="00C90F10" w:rsidRPr="000A4607" w:rsidRDefault="00C90F10" w:rsidP="00C90F10">
      <w:pPr>
        <w:jc w:val="center"/>
        <w:rPr>
          <w:rFonts w:ascii="Arial" w:hAnsi="Arial" w:cs="Arial"/>
          <w:i/>
          <w:color w:val="365F91" w:themeColor="accent1" w:themeShade="BF"/>
          <w:sz w:val="22"/>
          <w:szCs w:val="22"/>
          <w:lang w:val="en-GB"/>
        </w:rPr>
      </w:pPr>
      <w:r w:rsidRPr="000A4607">
        <w:rPr>
          <w:rFonts w:ascii="Arial" w:hAnsi="Arial" w:cs="Arial"/>
          <w:i/>
          <w:color w:val="365F91" w:themeColor="accent1" w:themeShade="BF"/>
          <w:sz w:val="22"/>
          <w:szCs w:val="22"/>
          <w:lang w:val="en-GB"/>
        </w:rPr>
        <w:t xml:space="preserve">Iako su ove zemlje, gotovo po pravilu, već imale usvojene zakone za oblast koncesija, pokazali su se kao nedovoljni za uređenje JPP, dok je korišćenje drugih pravnih propisa na kraju vodilo potrebi </w:t>
      </w:r>
      <w:r w:rsidR="000F1723" w:rsidRPr="000A4607">
        <w:rPr>
          <w:rFonts w:ascii="Arial" w:hAnsi="Arial" w:cs="Arial"/>
          <w:i/>
          <w:color w:val="365F91" w:themeColor="accent1" w:themeShade="BF"/>
          <w:sz w:val="22"/>
          <w:szCs w:val="22"/>
          <w:lang w:val="en-GB"/>
        </w:rPr>
        <w:t xml:space="preserve">unapređenja i </w:t>
      </w:r>
      <w:r w:rsidRPr="000A4607">
        <w:rPr>
          <w:rFonts w:ascii="Arial" w:hAnsi="Arial" w:cs="Arial"/>
          <w:i/>
          <w:color w:val="365F91" w:themeColor="accent1" w:themeShade="BF"/>
          <w:sz w:val="22"/>
          <w:szCs w:val="22"/>
          <w:lang w:val="en-GB"/>
        </w:rPr>
        <w:t xml:space="preserve">objedinjavanja regulative u okviru jedinstvenog zakonskog teksta.  </w:t>
      </w:r>
    </w:p>
    <w:p w14:paraId="4CAD9A15" w14:textId="05024B89" w:rsidR="00C90F10" w:rsidRPr="000A4607" w:rsidRDefault="00C90F10" w:rsidP="00C90F10">
      <w:pPr>
        <w:jc w:val="center"/>
        <w:rPr>
          <w:rFonts w:ascii="Arial" w:hAnsi="Arial" w:cs="Arial"/>
          <w:i/>
          <w:color w:val="365F91" w:themeColor="accent1" w:themeShade="BF"/>
          <w:sz w:val="22"/>
          <w:szCs w:val="22"/>
          <w:lang w:val="en-GB"/>
        </w:rPr>
      </w:pPr>
      <w:r w:rsidRPr="000A4607">
        <w:rPr>
          <w:rFonts w:ascii="Arial" w:hAnsi="Arial" w:cs="Arial"/>
          <w:i/>
          <w:color w:val="365F91" w:themeColor="accent1" w:themeShade="BF"/>
          <w:sz w:val="22"/>
          <w:szCs w:val="22"/>
          <w:lang w:val="en-GB"/>
        </w:rPr>
        <w:t>S obzirom na to da Crna Gora još uvijek nema definisan zakonski okvir za JPP, niti usaglašen sa relevantnim EU propisima za oblast koncesija, cilj ove analize je da ukaže na praksu regulisanja ovih o</w:t>
      </w:r>
      <w:r w:rsidR="002F575E">
        <w:rPr>
          <w:rFonts w:ascii="Arial" w:hAnsi="Arial" w:cs="Arial"/>
          <w:i/>
          <w:color w:val="365F91" w:themeColor="accent1" w:themeShade="BF"/>
          <w:sz w:val="22"/>
          <w:szCs w:val="22"/>
        </w:rPr>
        <w:t xml:space="preserve">blasti u zemljama u tranziciji. </w:t>
      </w:r>
    </w:p>
    <w:p w14:paraId="02B29518" w14:textId="77777777" w:rsidR="000C1200" w:rsidRPr="000A4607" w:rsidRDefault="000C1200" w:rsidP="00015958">
      <w:pPr>
        <w:spacing w:line="276" w:lineRule="auto"/>
        <w:jc w:val="both"/>
        <w:rPr>
          <w:rFonts w:ascii="Helvetica" w:eastAsia="Times New Roman" w:hAnsi="Helvetica" w:cs="Times New Roman"/>
          <w:color w:val="232323"/>
          <w:shd w:val="clear" w:color="auto" w:fill="FAFBFB"/>
          <w:lang w:val="en-GB"/>
        </w:rPr>
      </w:pPr>
    </w:p>
    <w:p w14:paraId="1685329A" w14:textId="77777777" w:rsidR="004B0543" w:rsidRPr="000A4607" w:rsidRDefault="004B0543" w:rsidP="00015958">
      <w:pPr>
        <w:spacing w:line="276" w:lineRule="auto"/>
        <w:jc w:val="both"/>
        <w:rPr>
          <w:rFonts w:ascii="Helvetica" w:eastAsia="Times New Roman" w:hAnsi="Helvetica" w:cs="Times New Roman"/>
          <w:color w:val="232323"/>
          <w:shd w:val="clear" w:color="auto" w:fill="FAFBFB"/>
          <w:lang w:val="en-GB"/>
        </w:rPr>
      </w:pPr>
    </w:p>
    <w:tbl>
      <w:tblPr>
        <w:tblStyle w:val="TableGrid"/>
        <w:tblpPr w:leftFromText="180" w:rightFromText="180" w:vertAnchor="text" w:horzAnchor="page" w:tblpX="6823" w:tblpY="2226"/>
        <w:tblOverlap w:val="never"/>
        <w:tblW w:w="0" w:type="auto"/>
        <w:tblLook w:val="04A0" w:firstRow="1" w:lastRow="0" w:firstColumn="1" w:lastColumn="0" w:noHBand="0" w:noVBand="1"/>
      </w:tblPr>
      <w:tblGrid>
        <w:gridCol w:w="4107"/>
      </w:tblGrid>
      <w:tr w:rsidR="006132EE" w:rsidRPr="000A4607" w14:paraId="12BEE83A" w14:textId="77777777" w:rsidTr="006132EE">
        <w:trPr>
          <w:trHeight w:val="4410"/>
        </w:trPr>
        <w:tc>
          <w:tcPr>
            <w:tcW w:w="4107" w:type="dxa"/>
          </w:tcPr>
          <w:p w14:paraId="72DE18C7" w14:textId="77777777" w:rsidR="006132EE" w:rsidRPr="000A4607" w:rsidRDefault="006132EE" w:rsidP="006132EE">
            <w:pPr>
              <w:widowControl w:val="0"/>
              <w:autoSpaceDE w:val="0"/>
              <w:autoSpaceDN w:val="0"/>
              <w:adjustRightInd w:val="0"/>
              <w:jc w:val="center"/>
              <w:rPr>
                <w:rFonts w:ascii="Arial" w:hAnsi="Arial" w:cs="Arial"/>
                <w:i/>
                <w:sz w:val="18"/>
                <w:szCs w:val="18"/>
                <w:lang w:val="en-GB"/>
              </w:rPr>
            </w:pPr>
          </w:p>
          <w:p w14:paraId="4D697E35" w14:textId="77777777" w:rsidR="006132EE" w:rsidRPr="000A4607" w:rsidRDefault="006132EE" w:rsidP="006132EE">
            <w:pPr>
              <w:widowControl w:val="0"/>
              <w:autoSpaceDE w:val="0"/>
              <w:autoSpaceDN w:val="0"/>
              <w:adjustRightInd w:val="0"/>
              <w:spacing w:after="240"/>
              <w:jc w:val="center"/>
              <w:rPr>
                <w:rFonts w:ascii="Arial" w:hAnsi="Arial" w:cs="Arial"/>
                <w:i/>
                <w:sz w:val="18"/>
                <w:szCs w:val="18"/>
                <w:lang w:val="en-GB"/>
              </w:rPr>
            </w:pPr>
            <w:r w:rsidRPr="000A4607">
              <w:rPr>
                <w:rFonts w:ascii="Arial" w:hAnsi="Arial" w:cs="Arial"/>
                <w:i/>
                <w:sz w:val="18"/>
                <w:szCs w:val="18"/>
                <w:lang w:val="en-GB"/>
              </w:rPr>
              <w:t>Zašto je Zakon o javno-privatnim partnerstvima u Crnoj Gori potreban?</w:t>
            </w:r>
          </w:p>
          <w:p w14:paraId="631B9117" w14:textId="77777777" w:rsidR="006132EE" w:rsidRPr="000A4607" w:rsidRDefault="006132EE" w:rsidP="006132EE">
            <w:pPr>
              <w:pStyle w:val="ListParagraph"/>
              <w:widowControl w:val="0"/>
              <w:numPr>
                <w:ilvl w:val="0"/>
                <w:numId w:val="3"/>
              </w:numPr>
              <w:tabs>
                <w:tab w:val="left" w:pos="1240"/>
              </w:tabs>
              <w:autoSpaceDE w:val="0"/>
              <w:autoSpaceDN w:val="0"/>
              <w:adjustRightInd w:val="0"/>
              <w:spacing w:after="240"/>
              <w:rPr>
                <w:rFonts w:ascii="Arial" w:hAnsi="Arial" w:cs="Arial"/>
                <w:sz w:val="18"/>
                <w:szCs w:val="18"/>
                <w:lang w:val="en-GB"/>
              </w:rPr>
            </w:pPr>
            <w:r w:rsidRPr="000A4607">
              <w:rPr>
                <w:rFonts w:ascii="Arial" w:hAnsi="Arial" w:cs="Arial"/>
                <w:sz w:val="18"/>
                <w:szCs w:val="18"/>
                <w:lang w:val="en-GB"/>
              </w:rPr>
              <w:t>Povećane potrebe za infrastrukturnim ulaganjima i unapređenjem kvaliteta usluga.</w:t>
            </w:r>
          </w:p>
          <w:p w14:paraId="339A1764" w14:textId="77777777" w:rsidR="006132EE" w:rsidRPr="000A4607" w:rsidRDefault="006132EE" w:rsidP="006132EE">
            <w:pPr>
              <w:pStyle w:val="ListParagraph"/>
              <w:widowControl w:val="0"/>
              <w:numPr>
                <w:ilvl w:val="0"/>
                <w:numId w:val="3"/>
              </w:numPr>
              <w:tabs>
                <w:tab w:val="left" w:pos="1240"/>
              </w:tabs>
              <w:autoSpaceDE w:val="0"/>
              <w:autoSpaceDN w:val="0"/>
              <w:adjustRightInd w:val="0"/>
              <w:spacing w:after="240"/>
              <w:rPr>
                <w:rFonts w:ascii="Arial" w:hAnsi="Arial" w:cs="Arial"/>
                <w:sz w:val="18"/>
                <w:szCs w:val="18"/>
                <w:lang w:val="en-GB"/>
              </w:rPr>
            </w:pPr>
            <w:r w:rsidRPr="000A4607">
              <w:rPr>
                <w:rFonts w:ascii="Arial" w:hAnsi="Arial" w:cs="Arial"/>
                <w:sz w:val="18"/>
                <w:szCs w:val="18"/>
                <w:lang w:val="en-GB"/>
              </w:rPr>
              <w:t>Zbog visokog budžetskog deficita i javnog duga.</w:t>
            </w:r>
          </w:p>
          <w:p w14:paraId="398030B8" w14:textId="77777777" w:rsidR="006132EE" w:rsidRPr="000A4607" w:rsidRDefault="006132EE" w:rsidP="006132EE">
            <w:pPr>
              <w:pStyle w:val="ListParagraph"/>
              <w:widowControl w:val="0"/>
              <w:numPr>
                <w:ilvl w:val="0"/>
                <w:numId w:val="3"/>
              </w:numPr>
              <w:tabs>
                <w:tab w:val="left" w:pos="1240"/>
              </w:tabs>
              <w:autoSpaceDE w:val="0"/>
              <w:autoSpaceDN w:val="0"/>
              <w:adjustRightInd w:val="0"/>
              <w:spacing w:after="240"/>
              <w:rPr>
                <w:rFonts w:ascii="Arial" w:hAnsi="Arial" w:cs="Arial"/>
                <w:sz w:val="18"/>
                <w:szCs w:val="18"/>
                <w:lang w:val="en-GB"/>
              </w:rPr>
            </w:pPr>
            <w:r w:rsidRPr="000A4607">
              <w:rPr>
                <w:rFonts w:ascii="Arial" w:hAnsi="Arial" w:cs="Arial"/>
                <w:sz w:val="18"/>
                <w:szCs w:val="18"/>
                <w:lang w:val="en-GB"/>
              </w:rPr>
              <w:t>U pravcu obezbjeđivanja transparentnih procedura za sprovođenje JPP kao izuzetno kompleksnih projekata i instrumenata za popunjavanje budžetskog deficita.</w:t>
            </w:r>
          </w:p>
          <w:p w14:paraId="05D9D113" w14:textId="77777777" w:rsidR="006132EE" w:rsidRPr="000A4607" w:rsidRDefault="006132EE" w:rsidP="006132EE">
            <w:pPr>
              <w:pStyle w:val="ListParagraph"/>
              <w:widowControl w:val="0"/>
              <w:numPr>
                <w:ilvl w:val="0"/>
                <w:numId w:val="3"/>
              </w:numPr>
              <w:tabs>
                <w:tab w:val="left" w:pos="1240"/>
              </w:tabs>
              <w:autoSpaceDE w:val="0"/>
              <w:autoSpaceDN w:val="0"/>
              <w:adjustRightInd w:val="0"/>
              <w:spacing w:after="240"/>
              <w:rPr>
                <w:rFonts w:ascii="Arial" w:hAnsi="Arial" w:cs="Arial"/>
                <w:sz w:val="18"/>
                <w:szCs w:val="18"/>
                <w:lang w:val="en-GB"/>
              </w:rPr>
            </w:pPr>
            <w:r w:rsidRPr="000A4607">
              <w:rPr>
                <w:rFonts w:ascii="Arial" w:hAnsi="Arial" w:cs="Arial"/>
                <w:sz w:val="18"/>
                <w:szCs w:val="18"/>
                <w:lang w:val="en-GB"/>
              </w:rPr>
              <w:t xml:space="preserve">U cilju omogućavanja da infrastrukurna ulaganja ili pružanje usluga budu realizovani na </w:t>
            </w:r>
            <w:r w:rsidRPr="000A4607">
              <w:rPr>
                <w:rFonts w:ascii="Arial" w:hAnsi="Arial" w:cs="Arial"/>
                <w:i/>
                <w:sz w:val="18"/>
                <w:szCs w:val="18"/>
                <w:lang w:val="en-GB"/>
              </w:rPr>
              <w:t>cost-effective</w:t>
            </w:r>
            <w:r w:rsidRPr="000A4607">
              <w:rPr>
                <w:rFonts w:ascii="Arial" w:hAnsi="Arial" w:cs="Arial"/>
                <w:sz w:val="18"/>
                <w:szCs w:val="18"/>
                <w:lang w:val="en-GB"/>
              </w:rPr>
              <w:t xml:space="preserve"> način. </w:t>
            </w:r>
          </w:p>
          <w:p w14:paraId="10366B4B" w14:textId="77777777" w:rsidR="006132EE" w:rsidRPr="000A4607" w:rsidRDefault="006132EE" w:rsidP="006132EE">
            <w:pPr>
              <w:pStyle w:val="ListParagraph"/>
              <w:widowControl w:val="0"/>
              <w:numPr>
                <w:ilvl w:val="0"/>
                <w:numId w:val="3"/>
              </w:numPr>
              <w:tabs>
                <w:tab w:val="left" w:pos="1240"/>
              </w:tabs>
              <w:autoSpaceDE w:val="0"/>
              <w:autoSpaceDN w:val="0"/>
              <w:adjustRightInd w:val="0"/>
              <w:spacing w:after="240"/>
              <w:rPr>
                <w:rFonts w:ascii="Arial" w:hAnsi="Arial" w:cs="Arial"/>
                <w:sz w:val="18"/>
                <w:szCs w:val="18"/>
                <w:lang w:val="en-GB"/>
              </w:rPr>
            </w:pPr>
            <w:r w:rsidRPr="000A4607">
              <w:rPr>
                <w:rFonts w:ascii="Arial" w:hAnsi="Arial" w:cs="Arial"/>
                <w:sz w:val="18"/>
                <w:szCs w:val="18"/>
                <w:lang w:val="en-GB"/>
              </w:rPr>
              <w:t xml:space="preserve">Zbog mogućnosti podjele rizika između javnog i privatnog partnera. </w:t>
            </w:r>
          </w:p>
        </w:tc>
      </w:tr>
    </w:tbl>
    <w:p w14:paraId="62FC676D" w14:textId="35444AFE" w:rsidR="007575F9" w:rsidRPr="000A4607" w:rsidRDefault="00C519D4" w:rsidP="00E7393F">
      <w:pPr>
        <w:spacing w:line="276" w:lineRule="auto"/>
        <w:jc w:val="both"/>
        <w:rPr>
          <w:rFonts w:ascii="Arial" w:hAnsi="Arial" w:cs="Arial"/>
          <w:sz w:val="22"/>
          <w:szCs w:val="22"/>
          <w:lang w:val="en-GB"/>
        </w:rPr>
      </w:pPr>
      <w:r w:rsidRPr="000A4607">
        <w:rPr>
          <w:rFonts w:ascii="Arial" w:hAnsi="Arial" w:cs="Arial"/>
          <w:sz w:val="22"/>
          <w:szCs w:val="22"/>
          <w:lang w:val="en-GB"/>
        </w:rPr>
        <w:t>Javno-privatna partnerstva (JPP)</w:t>
      </w:r>
      <w:r w:rsidR="00526A6C" w:rsidRPr="000A4607">
        <w:rPr>
          <w:rStyle w:val="FootnoteReference"/>
          <w:rFonts w:ascii="Arial" w:hAnsi="Arial" w:cs="Arial"/>
          <w:sz w:val="22"/>
          <w:szCs w:val="22"/>
          <w:lang w:val="en-GB"/>
        </w:rPr>
        <w:footnoteReference w:id="1"/>
      </w:r>
      <w:r w:rsidRPr="000A4607">
        <w:rPr>
          <w:rFonts w:ascii="Arial" w:hAnsi="Arial" w:cs="Arial"/>
          <w:sz w:val="22"/>
          <w:szCs w:val="22"/>
          <w:lang w:val="en-GB"/>
        </w:rPr>
        <w:t xml:space="preserve"> su optimalan, ali kompleksan, model (ugovorni odnos) prevazilaženja </w:t>
      </w:r>
      <w:r w:rsidR="001807CA" w:rsidRPr="000A4607">
        <w:rPr>
          <w:rFonts w:ascii="Arial" w:hAnsi="Arial" w:cs="Arial"/>
          <w:sz w:val="22"/>
          <w:szCs w:val="22"/>
          <w:lang w:val="en-GB"/>
        </w:rPr>
        <w:t>“</w:t>
      </w:r>
      <w:r w:rsidRPr="000A4607">
        <w:rPr>
          <w:rFonts w:ascii="Arial" w:hAnsi="Arial" w:cs="Arial"/>
          <w:sz w:val="22"/>
          <w:szCs w:val="22"/>
          <w:lang w:val="en-GB"/>
        </w:rPr>
        <w:t>raskoraka</w:t>
      </w:r>
      <w:r w:rsidR="001807CA" w:rsidRPr="000A4607">
        <w:rPr>
          <w:rFonts w:ascii="Arial" w:hAnsi="Arial" w:cs="Arial"/>
          <w:sz w:val="22"/>
          <w:szCs w:val="22"/>
          <w:lang w:val="en-GB"/>
        </w:rPr>
        <w:t>”</w:t>
      </w:r>
      <w:r w:rsidRPr="000A4607">
        <w:rPr>
          <w:rFonts w:ascii="Arial" w:hAnsi="Arial" w:cs="Arial"/>
          <w:sz w:val="22"/>
          <w:szCs w:val="22"/>
          <w:lang w:val="en-GB"/>
        </w:rPr>
        <w:t xml:space="preserve"> između potrebe </w:t>
      </w:r>
      <w:r w:rsidR="00533EC0" w:rsidRPr="000A4607">
        <w:rPr>
          <w:rFonts w:ascii="Arial" w:hAnsi="Arial" w:cs="Arial"/>
          <w:sz w:val="22"/>
          <w:szCs w:val="22"/>
          <w:lang w:val="en-GB"/>
        </w:rPr>
        <w:t>za unapređenjem</w:t>
      </w:r>
      <w:r w:rsidRPr="000A4607">
        <w:rPr>
          <w:rFonts w:ascii="Arial" w:hAnsi="Arial" w:cs="Arial"/>
          <w:sz w:val="22"/>
          <w:szCs w:val="22"/>
          <w:lang w:val="en-GB"/>
        </w:rPr>
        <w:t xml:space="preserve"> javnih usluga i infrastrukture i manjka finansijskih sredstava za </w:t>
      </w:r>
      <w:r w:rsidR="0068150C" w:rsidRPr="000A4607">
        <w:rPr>
          <w:rFonts w:ascii="Arial" w:hAnsi="Arial" w:cs="Arial"/>
          <w:sz w:val="22"/>
          <w:szCs w:val="22"/>
          <w:lang w:val="en-GB"/>
        </w:rPr>
        <w:t>ove investicije</w:t>
      </w:r>
      <w:r w:rsidR="008A7F83" w:rsidRPr="000A4607">
        <w:rPr>
          <w:rFonts w:ascii="Arial" w:hAnsi="Arial" w:cs="Arial"/>
          <w:sz w:val="22"/>
          <w:szCs w:val="22"/>
          <w:lang w:val="en-GB"/>
        </w:rPr>
        <w:t>. N</w:t>
      </w:r>
      <w:r w:rsidR="00AD47E7" w:rsidRPr="000A4607">
        <w:rPr>
          <w:rFonts w:ascii="Arial" w:hAnsi="Arial" w:cs="Arial"/>
          <w:sz w:val="22"/>
          <w:szCs w:val="22"/>
          <w:lang w:val="en-GB"/>
        </w:rPr>
        <w:t xml:space="preserve">edostatak sredstava za unapređenje </w:t>
      </w:r>
      <w:r w:rsidR="00CD7FCA" w:rsidRPr="000A4607">
        <w:rPr>
          <w:rFonts w:ascii="Arial" w:hAnsi="Arial" w:cs="Arial"/>
          <w:sz w:val="22"/>
          <w:szCs w:val="22"/>
          <w:lang w:val="en-GB"/>
        </w:rPr>
        <w:t>kvaliteta usluga posebno je izražen</w:t>
      </w:r>
      <w:r w:rsidR="00E7393F" w:rsidRPr="000A4607">
        <w:rPr>
          <w:rFonts w:ascii="Arial" w:hAnsi="Arial" w:cs="Arial"/>
          <w:sz w:val="22"/>
          <w:szCs w:val="22"/>
          <w:lang w:val="en-GB"/>
        </w:rPr>
        <w:t xml:space="preserve"> u zemljama u tranziciji gdje</w:t>
      </w:r>
      <w:r w:rsidR="0038476A" w:rsidRPr="000A4607">
        <w:rPr>
          <w:rFonts w:ascii="Arial" w:hAnsi="Arial" w:cs="Arial"/>
          <w:sz w:val="22"/>
          <w:szCs w:val="22"/>
          <w:lang w:val="en-GB"/>
        </w:rPr>
        <w:t xml:space="preserve"> su budžetska sredstva za kapi</w:t>
      </w:r>
      <w:r w:rsidR="00CD7FCA" w:rsidRPr="000A4607">
        <w:rPr>
          <w:rFonts w:ascii="Arial" w:hAnsi="Arial" w:cs="Arial"/>
          <w:sz w:val="22"/>
          <w:szCs w:val="22"/>
          <w:lang w:val="en-GB"/>
        </w:rPr>
        <w:t xml:space="preserve">talne investicije ograničena a </w:t>
      </w:r>
      <w:r w:rsidR="00E7393F" w:rsidRPr="000A4607">
        <w:rPr>
          <w:rFonts w:ascii="Arial" w:hAnsi="Arial" w:cs="Arial"/>
          <w:sz w:val="22"/>
          <w:szCs w:val="22"/>
          <w:lang w:val="en-GB"/>
        </w:rPr>
        <w:t>potreba</w:t>
      </w:r>
      <w:r w:rsidR="00CD7FCA" w:rsidRPr="000A4607">
        <w:rPr>
          <w:rFonts w:ascii="Arial" w:hAnsi="Arial" w:cs="Arial"/>
          <w:sz w:val="22"/>
          <w:szCs w:val="22"/>
          <w:lang w:val="en-GB"/>
        </w:rPr>
        <w:t xml:space="preserve"> za ulaganjima</w:t>
      </w:r>
      <w:r w:rsidR="001807CA" w:rsidRPr="000A4607">
        <w:rPr>
          <w:rFonts w:ascii="Arial" w:hAnsi="Arial" w:cs="Arial"/>
          <w:sz w:val="22"/>
          <w:szCs w:val="22"/>
          <w:lang w:val="en-GB"/>
        </w:rPr>
        <w:t xml:space="preserve"> u infrastrukturu</w:t>
      </w:r>
      <w:r w:rsidR="00CD7FCA" w:rsidRPr="000A4607">
        <w:rPr>
          <w:rFonts w:ascii="Arial" w:hAnsi="Arial" w:cs="Arial"/>
          <w:sz w:val="22"/>
          <w:szCs w:val="22"/>
          <w:lang w:val="en-GB"/>
        </w:rPr>
        <w:t xml:space="preserve"> veća nego u razvi</w:t>
      </w:r>
      <w:r w:rsidR="00E7393F" w:rsidRPr="000A4607">
        <w:rPr>
          <w:rFonts w:ascii="Arial" w:hAnsi="Arial" w:cs="Arial"/>
          <w:sz w:val="22"/>
          <w:szCs w:val="22"/>
          <w:lang w:val="en-GB"/>
        </w:rPr>
        <w:t xml:space="preserve">jenim zemljama i iznosi </w:t>
      </w:r>
      <w:r w:rsidR="00AC44C0" w:rsidRPr="000A4607">
        <w:rPr>
          <w:rFonts w:ascii="Arial" w:hAnsi="Arial" w:cs="Arial"/>
          <w:sz w:val="22"/>
          <w:szCs w:val="22"/>
          <w:lang w:val="en-GB"/>
        </w:rPr>
        <w:t xml:space="preserve">5% </w:t>
      </w:r>
      <w:r w:rsidR="00E7393F" w:rsidRPr="000A4607">
        <w:rPr>
          <w:rFonts w:ascii="Arial" w:hAnsi="Arial" w:cs="Arial"/>
          <w:sz w:val="22"/>
          <w:szCs w:val="22"/>
          <w:lang w:val="en-GB"/>
        </w:rPr>
        <w:t>BDP.</w:t>
      </w:r>
      <w:r w:rsidR="008B23D4" w:rsidRPr="000A4607">
        <w:rPr>
          <w:rFonts w:ascii="Arial" w:hAnsi="Arial" w:cs="Arial"/>
          <w:sz w:val="22"/>
          <w:szCs w:val="22"/>
          <w:lang w:val="en-GB"/>
        </w:rPr>
        <w:t xml:space="preserve"> U odnosu na tradicionalne vidove izgradnje i</w:t>
      </w:r>
      <w:r w:rsidR="00A01722" w:rsidRPr="000A4607">
        <w:rPr>
          <w:rFonts w:ascii="Arial" w:hAnsi="Arial" w:cs="Arial"/>
          <w:sz w:val="22"/>
          <w:szCs w:val="22"/>
          <w:lang w:val="en-GB"/>
        </w:rPr>
        <w:t xml:space="preserve"> obezbjeđivanja usluga, JPP podstiče </w:t>
      </w:r>
      <w:r w:rsidR="008B23D4" w:rsidRPr="000A4607">
        <w:rPr>
          <w:rFonts w:ascii="Arial" w:hAnsi="Arial" w:cs="Arial"/>
          <w:sz w:val="22"/>
          <w:szCs w:val="22"/>
          <w:lang w:val="en-GB"/>
        </w:rPr>
        <w:t xml:space="preserve">uštede troškova inovacije i poboljšanje upravljanja </w:t>
      </w:r>
      <w:r w:rsidR="00C159EA" w:rsidRPr="000A4607">
        <w:rPr>
          <w:rFonts w:ascii="Arial" w:hAnsi="Arial" w:cs="Arial"/>
          <w:sz w:val="22"/>
          <w:szCs w:val="22"/>
          <w:lang w:val="en-GB"/>
        </w:rPr>
        <w:t xml:space="preserve">(podjele) </w:t>
      </w:r>
      <w:r w:rsidR="008B23D4" w:rsidRPr="000A4607">
        <w:rPr>
          <w:rFonts w:ascii="Arial" w:hAnsi="Arial" w:cs="Arial"/>
          <w:sz w:val="22"/>
          <w:szCs w:val="22"/>
          <w:lang w:val="en-GB"/>
        </w:rPr>
        <w:t xml:space="preserve">rizicima, </w:t>
      </w:r>
      <w:r w:rsidR="00C159EA" w:rsidRPr="000A4607">
        <w:rPr>
          <w:rFonts w:ascii="Arial" w:hAnsi="Arial" w:cs="Arial"/>
          <w:sz w:val="22"/>
          <w:szCs w:val="22"/>
          <w:lang w:val="en-GB"/>
        </w:rPr>
        <w:t xml:space="preserve">ali </w:t>
      </w:r>
      <w:r w:rsidR="00C159EA" w:rsidRPr="000A4607">
        <w:rPr>
          <w:rFonts w:ascii="Arial" w:hAnsi="Arial" w:cs="Arial"/>
          <w:b/>
          <w:sz w:val="22"/>
          <w:szCs w:val="22"/>
          <w:lang w:val="en-GB"/>
        </w:rPr>
        <w:t>isključivo ako</w:t>
      </w:r>
      <w:r w:rsidR="008B23D4" w:rsidRPr="000A4607">
        <w:rPr>
          <w:rFonts w:ascii="Arial" w:hAnsi="Arial" w:cs="Arial"/>
          <w:b/>
          <w:sz w:val="22"/>
          <w:szCs w:val="22"/>
          <w:lang w:val="en-GB"/>
        </w:rPr>
        <w:t xml:space="preserve"> javni sektor ima odgovarajući </w:t>
      </w:r>
      <w:r w:rsidR="00753962" w:rsidRPr="000A4607">
        <w:rPr>
          <w:rFonts w:ascii="Arial" w:hAnsi="Arial" w:cs="Arial"/>
          <w:b/>
          <w:sz w:val="22"/>
          <w:szCs w:val="22"/>
          <w:lang w:val="en-GB"/>
        </w:rPr>
        <w:t>zakonski</w:t>
      </w:r>
      <w:r w:rsidR="008B23D4" w:rsidRPr="000A4607">
        <w:rPr>
          <w:rFonts w:ascii="Arial" w:hAnsi="Arial" w:cs="Arial"/>
          <w:b/>
          <w:sz w:val="22"/>
          <w:szCs w:val="22"/>
          <w:lang w:val="en-GB"/>
        </w:rPr>
        <w:t xml:space="preserve"> okvir i potrebne kompetencije </w:t>
      </w:r>
      <w:r w:rsidR="00C159EA" w:rsidRPr="000A4607">
        <w:rPr>
          <w:rFonts w:ascii="Arial" w:hAnsi="Arial" w:cs="Arial"/>
          <w:b/>
          <w:sz w:val="22"/>
          <w:szCs w:val="22"/>
          <w:lang w:val="en-GB"/>
        </w:rPr>
        <w:t>da</w:t>
      </w:r>
      <w:r w:rsidR="008B23D4" w:rsidRPr="000A4607">
        <w:rPr>
          <w:rFonts w:ascii="Arial" w:hAnsi="Arial" w:cs="Arial"/>
          <w:b/>
          <w:sz w:val="22"/>
          <w:szCs w:val="22"/>
          <w:lang w:val="en-GB"/>
        </w:rPr>
        <w:t xml:space="preserve"> uprav</w:t>
      </w:r>
      <w:r w:rsidR="00C159EA" w:rsidRPr="000A4607">
        <w:rPr>
          <w:rFonts w:ascii="Arial" w:hAnsi="Arial" w:cs="Arial"/>
          <w:b/>
          <w:sz w:val="22"/>
          <w:szCs w:val="22"/>
          <w:lang w:val="en-GB"/>
        </w:rPr>
        <w:t>lja ovakvim projektima.</w:t>
      </w:r>
      <w:r w:rsidR="00C159EA" w:rsidRPr="000A4607">
        <w:rPr>
          <w:rFonts w:ascii="Arial" w:hAnsi="Arial" w:cs="Arial"/>
          <w:sz w:val="22"/>
          <w:szCs w:val="22"/>
          <w:lang w:val="en-GB"/>
        </w:rPr>
        <w:t xml:space="preserve"> </w:t>
      </w:r>
      <w:r w:rsidR="003A45FF" w:rsidRPr="000A4607">
        <w:rPr>
          <w:rFonts w:ascii="Arial" w:hAnsi="Arial" w:cs="Arial"/>
          <w:sz w:val="22"/>
          <w:szCs w:val="22"/>
          <w:lang w:val="en-GB"/>
        </w:rPr>
        <w:t>Definisani i usklađeni pravni, ekonomski i politički okvir su</w:t>
      </w:r>
      <w:r w:rsidR="007575F9" w:rsidRPr="000A4607">
        <w:rPr>
          <w:rFonts w:ascii="Arial" w:hAnsi="Arial" w:cs="Arial"/>
          <w:sz w:val="22"/>
          <w:szCs w:val="22"/>
          <w:lang w:val="en-GB"/>
        </w:rPr>
        <w:t xml:space="preserve"> osnov za strane investicije, pa samim tim i za uspješno sprovođenje JPP. </w:t>
      </w:r>
    </w:p>
    <w:p w14:paraId="14A9B4EA" w14:textId="77777777" w:rsidR="002E0CB1" w:rsidRPr="000A4607" w:rsidRDefault="002E0CB1" w:rsidP="00D46191">
      <w:pPr>
        <w:spacing w:line="276" w:lineRule="auto"/>
        <w:jc w:val="both"/>
        <w:rPr>
          <w:rFonts w:ascii="Arial" w:hAnsi="Arial" w:cs="Arial"/>
          <w:sz w:val="22"/>
          <w:szCs w:val="22"/>
          <w:lang w:val="en-GB"/>
        </w:rPr>
      </w:pPr>
    </w:p>
    <w:p w14:paraId="4D8E2111" w14:textId="66290DBA" w:rsidR="002E0CB1" w:rsidRPr="000A4607" w:rsidRDefault="00E7393F" w:rsidP="00D46191">
      <w:pPr>
        <w:spacing w:line="276" w:lineRule="auto"/>
        <w:jc w:val="both"/>
        <w:rPr>
          <w:rFonts w:ascii="Arial" w:hAnsi="Arial" w:cs="Arial"/>
          <w:b/>
          <w:color w:val="4F81BD" w:themeColor="accent1"/>
          <w:sz w:val="22"/>
          <w:szCs w:val="22"/>
          <w:lang w:val="en-GB"/>
        </w:rPr>
      </w:pPr>
      <w:r w:rsidRPr="000A4607">
        <w:rPr>
          <w:rFonts w:ascii="Arial" w:hAnsi="Arial" w:cs="Arial"/>
          <w:b/>
          <w:color w:val="4F81BD" w:themeColor="accent1"/>
          <w:sz w:val="22"/>
          <w:szCs w:val="22"/>
          <w:lang w:val="en-GB"/>
        </w:rPr>
        <w:t>Okvir za JPP</w:t>
      </w:r>
      <w:r w:rsidR="0027546F" w:rsidRPr="000A4607">
        <w:rPr>
          <w:rFonts w:ascii="Arial" w:hAnsi="Arial" w:cs="Arial"/>
          <w:b/>
          <w:color w:val="4F81BD" w:themeColor="accent1"/>
          <w:sz w:val="22"/>
          <w:szCs w:val="22"/>
          <w:lang w:val="en-GB"/>
        </w:rPr>
        <w:t xml:space="preserve"> i koncesije</w:t>
      </w:r>
      <w:r w:rsidRPr="000A4607">
        <w:rPr>
          <w:rFonts w:ascii="Arial" w:hAnsi="Arial" w:cs="Arial"/>
          <w:b/>
          <w:color w:val="4F81BD" w:themeColor="accent1"/>
          <w:sz w:val="22"/>
          <w:szCs w:val="22"/>
          <w:lang w:val="en-GB"/>
        </w:rPr>
        <w:t xml:space="preserve"> u Crnoj Gori </w:t>
      </w:r>
    </w:p>
    <w:p w14:paraId="2A74F510" w14:textId="77777777" w:rsidR="00E11FEA" w:rsidRPr="000A4607" w:rsidRDefault="00E11FEA" w:rsidP="00D46191">
      <w:pPr>
        <w:spacing w:line="276" w:lineRule="auto"/>
        <w:jc w:val="both"/>
        <w:rPr>
          <w:rFonts w:ascii="Arial" w:hAnsi="Arial" w:cs="Arial"/>
          <w:sz w:val="22"/>
          <w:szCs w:val="22"/>
          <w:lang w:val="en-GB"/>
        </w:rPr>
      </w:pPr>
    </w:p>
    <w:p w14:paraId="3C29BC36" w14:textId="303FFFA1" w:rsidR="005A605D" w:rsidRPr="000A4607" w:rsidRDefault="0027546F" w:rsidP="00E11FEA">
      <w:pPr>
        <w:spacing w:line="276" w:lineRule="auto"/>
        <w:jc w:val="both"/>
        <w:rPr>
          <w:rFonts w:ascii="Arial" w:hAnsi="Arial" w:cs="Arial"/>
          <w:sz w:val="22"/>
          <w:szCs w:val="22"/>
          <w:lang w:val="en-GB"/>
        </w:rPr>
      </w:pPr>
      <w:r w:rsidRPr="000A4607">
        <w:rPr>
          <w:rFonts w:ascii="Arial" w:hAnsi="Arial" w:cs="Arial"/>
          <w:sz w:val="22"/>
          <w:szCs w:val="22"/>
          <w:lang w:val="en-GB"/>
        </w:rPr>
        <w:t xml:space="preserve">Poput većine zemalja u okruženju i Crna Gora ima visok budžetski deficit koji dodatno ograničava mogućnosti za infrastrukturna ulaganja. Ovaj deficit je </w:t>
      </w:r>
      <w:r w:rsidR="00A3705B" w:rsidRPr="000A4607">
        <w:rPr>
          <w:rFonts w:ascii="Arial" w:hAnsi="Arial" w:cs="Arial"/>
          <w:sz w:val="22"/>
          <w:szCs w:val="22"/>
          <w:lang w:val="en-GB"/>
        </w:rPr>
        <w:t>u 2012</w:t>
      </w:r>
      <w:r w:rsidR="00D46191" w:rsidRPr="000A4607">
        <w:rPr>
          <w:rFonts w:ascii="Arial" w:hAnsi="Arial" w:cs="Arial"/>
          <w:sz w:val="22"/>
          <w:szCs w:val="22"/>
          <w:lang w:val="en-GB"/>
        </w:rPr>
        <w:t>. godini iznosio je 5,6% BDP</w:t>
      </w:r>
      <w:r w:rsidR="004B4A79" w:rsidRPr="000A4607">
        <w:rPr>
          <w:rFonts w:ascii="Arial" w:hAnsi="Arial" w:cs="Arial"/>
          <w:sz w:val="22"/>
          <w:szCs w:val="22"/>
          <w:lang w:val="en-GB"/>
        </w:rPr>
        <w:t>, što je značajno više od projektovanog od 2,4%</w:t>
      </w:r>
      <w:r w:rsidR="00A3705B" w:rsidRPr="000A4607">
        <w:rPr>
          <w:rFonts w:ascii="Arial" w:hAnsi="Arial" w:cs="Arial"/>
          <w:sz w:val="22"/>
          <w:szCs w:val="22"/>
          <w:lang w:val="en-GB"/>
        </w:rPr>
        <w:t xml:space="preserve">, dok je javni dug </w:t>
      </w:r>
      <w:r w:rsidR="00B7249F" w:rsidRPr="000A4607">
        <w:rPr>
          <w:rFonts w:ascii="Arial" w:hAnsi="Arial" w:cs="Arial"/>
          <w:sz w:val="22"/>
          <w:szCs w:val="22"/>
          <w:lang w:val="en-GB"/>
        </w:rPr>
        <w:t>porastao na 54% BDP.</w:t>
      </w:r>
      <w:r w:rsidR="00D46191" w:rsidRPr="000A4607">
        <w:rPr>
          <w:rStyle w:val="FootnoteReference"/>
          <w:rFonts w:ascii="Arial" w:hAnsi="Arial" w:cs="Arial"/>
          <w:sz w:val="22"/>
          <w:szCs w:val="22"/>
          <w:lang w:val="en-GB"/>
        </w:rPr>
        <w:footnoteReference w:id="2"/>
      </w:r>
      <w:r w:rsidR="00D46191" w:rsidRPr="000A4607">
        <w:rPr>
          <w:rFonts w:ascii="Arial" w:hAnsi="Arial" w:cs="Arial"/>
          <w:sz w:val="22"/>
          <w:szCs w:val="22"/>
          <w:lang w:val="en-GB"/>
        </w:rPr>
        <w:t xml:space="preserve"> </w:t>
      </w:r>
      <w:r w:rsidRPr="000A4607">
        <w:rPr>
          <w:rFonts w:ascii="Arial" w:hAnsi="Arial" w:cs="Arial"/>
          <w:sz w:val="22"/>
          <w:szCs w:val="22"/>
          <w:lang w:val="en-GB"/>
        </w:rPr>
        <w:t xml:space="preserve">Otuda je JPP </w:t>
      </w:r>
      <w:r w:rsidR="008E7E5A" w:rsidRPr="000A4607">
        <w:rPr>
          <w:rFonts w:ascii="Arial" w:hAnsi="Arial" w:cs="Arial"/>
          <w:sz w:val="22"/>
          <w:szCs w:val="22"/>
          <w:lang w:val="en-GB"/>
        </w:rPr>
        <w:t>i</w:t>
      </w:r>
      <w:r w:rsidRPr="000A4607">
        <w:rPr>
          <w:rFonts w:ascii="Arial" w:hAnsi="Arial" w:cs="Arial"/>
          <w:sz w:val="22"/>
          <w:szCs w:val="22"/>
          <w:lang w:val="en-GB"/>
        </w:rPr>
        <w:t xml:space="preserve"> kod nas p</w:t>
      </w:r>
      <w:r w:rsidR="002E629A" w:rsidRPr="000A4607">
        <w:rPr>
          <w:rFonts w:ascii="Arial" w:hAnsi="Arial" w:cs="Arial"/>
          <w:sz w:val="22"/>
          <w:szCs w:val="22"/>
          <w:lang w:val="en-GB"/>
        </w:rPr>
        <w:t>repoznat  kao efikasan model popunjavanja</w:t>
      </w:r>
      <w:r w:rsidRPr="000A4607">
        <w:rPr>
          <w:rFonts w:ascii="Arial" w:hAnsi="Arial" w:cs="Arial"/>
          <w:sz w:val="22"/>
          <w:szCs w:val="22"/>
          <w:lang w:val="en-GB"/>
        </w:rPr>
        <w:t xml:space="preserve"> budžetskog deficita. Međutim, i</w:t>
      </w:r>
      <w:r w:rsidR="005A605D" w:rsidRPr="000A4607">
        <w:rPr>
          <w:rFonts w:ascii="Arial" w:hAnsi="Arial" w:cs="Arial"/>
          <w:sz w:val="22"/>
          <w:szCs w:val="22"/>
          <w:lang w:val="en-GB"/>
        </w:rPr>
        <w:t xml:space="preserve"> pored brojnih najava</w:t>
      </w:r>
      <w:r w:rsidRPr="000A4607">
        <w:rPr>
          <w:rFonts w:ascii="Arial" w:hAnsi="Arial" w:cs="Arial"/>
          <w:sz w:val="22"/>
          <w:szCs w:val="22"/>
          <w:lang w:val="en-GB"/>
        </w:rPr>
        <w:t xml:space="preserve"> iz Vlade</w:t>
      </w:r>
      <w:r w:rsidR="005A605D" w:rsidRPr="000A4607">
        <w:rPr>
          <w:rFonts w:ascii="Arial" w:hAnsi="Arial" w:cs="Arial"/>
          <w:sz w:val="22"/>
          <w:szCs w:val="22"/>
          <w:lang w:val="en-GB"/>
        </w:rPr>
        <w:t xml:space="preserve"> da će JPP</w:t>
      </w:r>
      <w:r w:rsidRPr="000A4607">
        <w:rPr>
          <w:rFonts w:ascii="Arial" w:hAnsi="Arial" w:cs="Arial"/>
          <w:sz w:val="22"/>
          <w:szCs w:val="22"/>
          <w:lang w:val="en-GB"/>
        </w:rPr>
        <w:t xml:space="preserve"> naći učestaliju primjenu</w:t>
      </w:r>
      <w:r w:rsidR="005A605D" w:rsidRPr="000A4607">
        <w:rPr>
          <w:rFonts w:ascii="Arial" w:hAnsi="Arial" w:cs="Arial"/>
          <w:sz w:val="22"/>
          <w:szCs w:val="22"/>
          <w:lang w:val="en-GB"/>
        </w:rPr>
        <w:t>,</w:t>
      </w:r>
      <w:r w:rsidR="009B58FC" w:rsidRPr="000A4607">
        <w:rPr>
          <w:rStyle w:val="FootnoteReference"/>
          <w:rFonts w:ascii="Arial" w:hAnsi="Arial" w:cs="Arial"/>
          <w:sz w:val="22"/>
          <w:szCs w:val="22"/>
          <w:lang w:val="en-GB"/>
        </w:rPr>
        <w:footnoteReference w:id="3"/>
      </w:r>
      <w:r w:rsidR="005A605D" w:rsidRPr="000A4607">
        <w:rPr>
          <w:rFonts w:ascii="Arial" w:hAnsi="Arial" w:cs="Arial"/>
          <w:sz w:val="22"/>
          <w:szCs w:val="22"/>
          <w:lang w:val="en-GB"/>
        </w:rPr>
        <w:t xml:space="preserve"> još uvijek nije usvojen Zakon o javno-privatnom partnerstvu, a njegovo usvajanje nije planirano Programom rada Vlade ni u 2014. godini.</w:t>
      </w:r>
      <w:r w:rsidR="005A605D" w:rsidRPr="000A4607">
        <w:rPr>
          <w:rStyle w:val="FootnoteReference"/>
          <w:rFonts w:ascii="Arial" w:hAnsi="Arial" w:cs="Arial"/>
          <w:sz w:val="22"/>
          <w:szCs w:val="22"/>
          <w:lang w:val="en-GB"/>
        </w:rPr>
        <w:footnoteReference w:id="4"/>
      </w:r>
      <w:r w:rsidR="003A55AD" w:rsidRPr="000A4607">
        <w:rPr>
          <w:rFonts w:ascii="Arial" w:hAnsi="Arial" w:cs="Arial"/>
          <w:sz w:val="22"/>
          <w:szCs w:val="22"/>
          <w:lang w:val="en-GB"/>
        </w:rPr>
        <w:t xml:space="preserve"> Trenutno, p</w:t>
      </w:r>
      <w:r w:rsidR="00E11FEA" w:rsidRPr="000A4607">
        <w:rPr>
          <w:rFonts w:ascii="Arial" w:hAnsi="Arial" w:cs="Arial"/>
          <w:sz w:val="22"/>
          <w:szCs w:val="22"/>
          <w:lang w:val="en-GB"/>
        </w:rPr>
        <w:t xml:space="preserve">reko 40 sektorskih zakona reguliše saradnju između javnog i privatnog sektora u </w:t>
      </w:r>
      <w:r w:rsidR="00E11FEA" w:rsidRPr="000A4607">
        <w:rPr>
          <w:rFonts w:ascii="Arial" w:hAnsi="Arial" w:cs="Arial"/>
          <w:sz w:val="22"/>
          <w:szCs w:val="22"/>
          <w:lang w:val="en-GB"/>
        </w:rPr>
        <w:lastRenderedPageBreak/>
        <w:t>vršenju javnih usluga.</w:t>
      </w:r>
      <w:r w:rsidR="00E11FEA" w:rsidRPr="000A4607">
        <w:rPr>
          <w:rStyle w:val="FootnoteReference"/>
          <w:rFonts w:ascii="Arial" w:hAnsi="Arial" w:cs="Arial"/>
          <w:sz w:val="22"/>
          <w:szCs w:val="22"/>
          <w:lang w:val="en-GB"/>
        </w:rPr>
        <w:footnoteReference w:id="5"/>
      </w:r>
      <w:r w:rsidR="00E11FEA" w:rsidRPr="000A4607">
        <w:rPr>
          <w:rFonts w:ascii="Arial" w:hAnsi="Arial" w:cs="Arial"/>
          <w:sz w:val="22"/>
          <w:szCs w:val="22"/>
          <w:lang w:val="en-GB"/>
        </w:rPr>
        <w:t xml:space="preserve"> </w:t>
      </w:r>
      <w:r w:rsidR="003C30EA" w:rsidRPr="000A4607">
        <w:rPr>
          <w:rFonts w:ascii="Arial" w:hAnsi="Arial" w:cs="Arial"/>
          <w:sz w:val="22"/>
          <w:szCs w:val="22"/>
          <w:lang w:val="en-GB"/>
        </w:rPr>
        <w:t xml:space="preserve">Budući da </w:t>
      </w:r>
      <w:r w:rsidR="005A605D" w:rsidRPr="000A4607">
        <w:rPr>
          <w:rFonts w:ascii="Arial" w:hAnsi="Arial" w:cs="Arial"/>
          <w:sz w:val="22"/>
          <w:szCs w:val="22"/>
          <w:lang w:val="en-GB"/>
        </w:rPr>
        <w:t>ne postoji pravni propis koji bi regulisao oblast ja</w:t>
      </w:r>
      <w:r w:rsidR="003A55AD" w:rsidRPr="000A4607">
        <w:rPr>
          <w:rFonts w:ascii="Arial" w:hAnsi="Arial" w:cs="Arial"/>
          <w:sz w:val="22"/>
          <w:szCs w:val="22"/>
          <w:lang w:val="en-GB"/>
        </w:rPr>
        <w:t xml:space="preserve">vno-privatnog partnerstva, </w:t>
      </w:r>
      <w:r w:rsidR="005A605D" w:rsidRPr="000A4607">
        <w:rPr>
          <w:rFonts w:ascii="Arial" w:hAnsi="Arial" w:cs="Arial"/>
          <w:sz w:val="22"/>
          <w:szCs w:val="22"/>
          <w:lang w:val="en-GB"/>
        </w:rPr>
        <w:t>ni institucionalni okvir za realizaciju JPP nije uspostavljen, pa ne postoji ni tijelo koje bi odobravalo, obezbjeđivalo pomoć u pripremi projekata i vršilo monitoring ugovora. Savjet za privatizaciju i kapita</w:t>
      </w:r>
      <w:r w:rsidR="00486253" w:rsidRPr="000A4607">
        <w:rPr>
          <w:rFonts w:ascii="Arial" w:hAnsi="Arial" w:cs="Arial"/>
          <w:sz w:val="22"/>
          <w:szCs w:val="22"/>
          <w:lang w:val="en-GB"/>
        </w:rPr>
        <w:t>l</w:t>
      </w:r>
      <w:r w:rsidR="005A605D" w:rsidRPr="000A4607">
        <w:rPr>
          <w:rFonts w:ascii="Arial" w:hAnsi="Arial" w:cs="Arial"/>
          <w:sz w:val="22"/>
          <w:szCs w:val="22"/>
          <w:lang w:val="en-GB"/>
        </w:rPr>
        <w:t>ne projekte na nacionalnom nivou utvrđuje koji će objekti i privredna društva biti privatizovani putem javnog tendera, kroz berzansku prodaju, a koji će biti valorizovani putem JPP.</w:t>
      </w:r>
      <w:r w:rsidR="005A605D" w:rsidRPr="000A4607">
        <w:rPr>
          <w:rStyle w:val="FootnoteReference"/>
          <w:rFonts w:ascii="Arial" w:hAnsi="Arial" w:cs="Arial"/>
          <w:sz w:val="22"/>
          <w:szCs w:val="22"/>
          <w:lang w:val="en-GB"/>
        </w:rPr>
        <w:footnoteReference w:id="6"/>
      </w:r>
      <w:r w:rsidR="005A605D" w:rsidRPr="000A4607">
        <w:rPr>
          <w:rFonts w:ascii="Arial" w:hAnsi="Arial" w:cs="Arial"/>
          <w:sz w:val="22"/>
          <w:szCs w:val="22"/>
          <w:lang w:val="en-GB"/>
        </w:rPr>
        <w:t xml:space="preserve"> </w:t>
      </w:r>
      <w:r w:rsidR="00C87BB9" w:rsidRPr="000A4607">
        <w:rPr>
          <w:rFonts w:ascii="Arial" w:hAnsi="Arial" w:cs="Arial"/>
          <w:sz w:val="22"/>
          <w:szCs w:val="22"/>
          <w:lang w:val="en-GB"/>
        </w:rPr>
        <w:t xml:space="preserve">Međutim, dosadašnja praksa realizovanja JPP se pokazala kao neplanska, </w:t>
      </w:r>
      <w:r w:rsidR="00C722A5" w:rsidRPr="000A4607">
        <w:rPr>
          <w:rFonts w:ascii="Arial" w:hAnsi="Arial" w:cs="Arial"/>
          <w:sz w:val="22"/>
          <w:szCs w:val="22"/>
          <w:lang w:val="en-GB"/>
        </w:rPr>
        <w:t>a nije usvojen</w:t>
      </w:r>
      <w:r w:rsidR="00071099" w:rsidRPr="000A4607">
        <w:rPr>
          <w:rFonts w:ascii="Arial" w:hAnsi="Arial" w:cs="Arial"/>
          <w:sz w:val="22"/>
          <w:szCs w:val="22"/>
          <w:lang w:val="en-GB"/>
        </w:rPr>
        <w:t xml:space="preserve"> ni nacionalni plan za </w:t>
      </w:r>
      <w:r w:rsidR="00334AEF" w:rsidRPr="000A4607">
        <w:rPr>
          <w:rFonts w:ascii="Arial" w:hAnsi="Arial" w:cs="Arial"/>
          <w:sz w:val="22"/>
          <w:szCs w:val="22"/>
          <w:lang w:val="en-GB"/>
        </w:rPr>
        <w:t xml:space="preserve">razvoj ove oblasti. </w:t>
      </w:r>
    </w:p>
    <w:p w14:paraId="27F006B2" w14:textId="77777777" w:rsidR="00915A05" w:rsidRPr="000A4607" w:rsidRDefault="00915A05" w:rsidP="003F5C9B">
      <w:pPr>
        <w:spacing w:line="276" w:lineRule="auto"/>
        <w:jc w:val="both"/>
        <w:rPr>
          <w:rFonts w:ascii="Arial" w:hAnsi="Arial" w:cs="Arial"/>
          <w:sz w:val="22"/>
          <w:szCs w:val="22"/>
          <w:lang w:val="en-GB"/>
        </w:rPr>
      </w:pPr>
    </w:p>
    <w:p w14:paraId="489D795C" w14:textId="3A2E3983" w:rsidR="00F73CC4" w:rsidRDefault="005A605D" w:rsidP="00F73CC4">
      <w:pPr>
        <w:spacing w:line="276" w:lineRule="auto"/>
        <w:jc w:val="both"/>
        <w:rPr>
          <w:rFonts w:ascii="Arial" w:hAnsi="Arial" w:cs="Arial"/>
          <w:sz w:val="22"/>
          <w:szCs w:val="22"/>
          <w:lang w:val="en-GB"/>
        </w:rPr>
      </w:pPr>
      <w:r w:rsidRPr="000A4607">
        <w:rPr>
          <w:rFonts w:ascii="Arial" w:hAnsi="Arial" w:cs="Arial"/>
          <w:sz w:val="22"/>
          <w:szCs w:val="22"/>
          <w:lang w:val="en-GB"/>
        </w:rPr>
        <w:t xml:space="preserve">Oblast koncesija u Crnoj Gori je uređena Zakonom o koncesijama koji je usvojen 2009. </w:t>
      </w:r>
      <w:r w:rsidR="00A8557B" w:rsidRPr="000A4607">
        <w:rPr>
          <w:rFonts w:ascii="Arial" w:hAnsi="Arial" w:cs="Arial"/>
          <w:sz w:val="22"/>
          <w:szCs w:val="22"/>
          <w:lang w:val="en-GB"/>
        </w:rPr>
        <w:t>g</w:t>
      </w:r>
      <w:r w:rsidRPr="000A4607">
        <w:rPr>
          <w:rFonts w:ascii="Arial" w:hAnsi="Arial" w:cs="Arial"/>
          <w:sz w:val="22"/>
          <w:szCs w:val="22"/>
          <w:lang w:val="en-GB"/>
        </w:rPr>
        <w:t>odine</w:t>
      </w:r>
      <w:r w:rsidR="00A8557B" w:rsidRPr="000A4607">
        <w:rPr>
          <w:rFonts w:ascii="Arial" w:hAnsi="Arial" w:cs="Arial"/>
          <w:sz w:val="22"/>
          <w:szCs w:val="22"/>
          <w:lang w:val="en-GB"/>
        </w:rPr>
        <w:t>.</w:t>
      </w:r>
      <w:r w:rsidRPr="000A4607">
        <w:rPr>
          <w:rStyle w:val="FootnoteReference"/>
          <w:rFonts w:ascii="Arial" w:hAnsi="Arial" w:cs="Arial"/>
          <w:sz w:val="22"/>
          <w:szCs w:val="22"/>
          <w:lang w:val="en-GB"/>
        </w:rPr>
        <w:footnoteReference w:id="7"/>
      </w:r>
      <w:r w:rsidR="00627B35" w:rsidRPr="000A4607">
        <w:rPr>
          <w:rFonts w:ascii="Arial" w:hAnsi="Arial" w:cs="Arial"/>
          <w:sz w:val="22"/>
          <w:szCs w:val="22"/>
          <w:lang w:val="en-GB"/>
        </w:rPr>
        <w:t xml:space="preserve"> Zakon definiše koncesiju kao pravo </w:t>
      </w:r>
      <w:r w:rsidR="007F540C" w:rsidRPr="000A4607">
        <w:rPr>
          <w:rFonts w:ascii="Arial" w:hAnsi="Arial" w:cs="Arial"/>
          <w:sz w:val="22"/>
          <w:szCs w:val="22"/>
          <w:lang w:val="en-GB"/>
        </w:rPr>
        <w:t>korišćen</w:t>
      </w:r>
      <w:r w:rsidR="003F5C9B" w:rsidRPr="000A4607">
        <w:rPr>
          <w:rFonts w:ascii="Arial" w:hAnsi="Arial" w:cs="Arial"/>
          <w:sz w:val="22"/>
          <w:szCs w:val="22"/>
          <w:lang w:val="en-GB"/>
        </w:rPr>
        <w:t>ja prirodnog bogatstva, dobra od opšteg interesa</w:t>
      </w:r>
      <w:r w:rsidR="007F540C" w:rsidRPr="000A4607">
        <w:rPr>
          <w:rFonts w:ascii="Arial" w:hAnsi="Arial" w:cs="Arial"/>
          <w:sz w:val="22"/>
          <w:szCs w:val="22"/>
          <w:lang w:val="en-GB"/>
        </w:rPr>
        <w:t xml:space="preserve"> ili obavljanja djelatnosti od javnog interesa,</w:t>
      </w:r>
      <w:r w:rsidR="003F5C9B" w:rsidRPr="000A4607">
        <w:rPr>
          <w:rFonts w:ascii="Arial" w:hAnsi="Arial" w:cs="Arial"/>
          <w:sz w:val="22"/>
          <w:szCs w:val="22"/>
          <w:lang w:val="en-GB"/>
        </w:rPr>
        <w:t xml:space="preserve"> odnosno “</w:t>
      </w:r>
      <w:r w:rsidR="007F540C" w:rsidRPr="000A4607">
        <w:rPr>
          <w:rFonts w:ascii="Arial" w:hAnsi="Arial" w:cs="Arial"/>
          <w:sz w:val="22"/>
          <w:szCs w:val="22"/>
          <w:lang w:val="en-GB"/>
        </w:rPr>
        <w:t xml:space="preserve">finansiranja, istraživanja, projektovanja, izgradnje ili rekonstrukcije, korišćenja, održavanja, revitalizacije i </w:t>
      </w:r>
      <w:r w:rsidR="003F5C9B" w:rsidRPr="000A4607">
        <w:rPr>
          <w:rFonts w:ascii="Arial" w:hAnsi="Arial" w:cs="Arial"/>
          <w:sz w:val="22"/>
          <w:szCs w:val="22"/>
          <w:lang w:val="en-GB"/>
        </w:rPr>
        <w:t>predaje objekta, uređ</w:t>
      </w:r>
      <w:r w:rsidR="007F540C" w:rsidRPr="000A4607">
        <w:rPr>
          <w:rFonts w:ascii="Arial" w:hAnsi="Arial" w:cs="Arial"/>
          <w:sz w:val="22"/>
          <w:szCs w:val="22"/>
          <w:lang w:val="en-GB"/>
        </w:rPr>
        <w:t xml:space="preserve">aja ili postrojenja, u ugovorenom roku, u svojinu koncedenta, uključujući i </w:t>
      </w:r>
      <w:r w:rsidR="003E50B1" w:rsidRPr="000A4607">
        <w:rPr>
          <w:rFonts w:ascii="Arial" w:hAnsi="Arial" w:cs="Arial"/>
          <w:sz w:val="22"/>
          <w:szCs w:val="22"/>
          <w:lang w:val="en-GB"/>
        </w:rPr>
        <w:t>druge slične oblike</w:t>
      </w:r>
      <w:r w:rsidR="003F5C9B" w:rsidRPr="000A4607">
        <w:rPr>
          <w:rFonts w:ascii="Arial" w:hAnsi="Arial" w:cs="Arial"/>
          <w:sz w:val="22"/>
          <w:szCs w:val="22"/>
          <w:lang w:val="en-GB"/>
        </w:rPr>
        <w:t>”</w:t>
      </w:r>
      <w:r w:rsidR="003E50B1" w:rsidRPr="000A4607">
        <w:rPr>
          <w:rFonts w:ascii="Arial" w:hAnsi="Arial" w:cs="Arial"/>
          <w:sz w:val="22"/>
          <w:szCs w:val="22"/>
          <w:lang w:val="en-GB"/>
        </w:rPr>
        <w:t>,</w:t>
      </w:r>
      <w:r w:rsidR="003F5C9B" w:rsidRPr="000A4607">
        <w:rPr>
          <w:rStyle w:val="FootnoteReference"/>
          <w:rFonts w:ascii="Arial" w:hAnsi="Arial" w:cs="Arial"/>
          <w:sz w:val="22"/>
          <w:szCs w:val="22"/>
          <w:lang w:val="en-GB"/>
        </w:rPr>
        <w:footnoteReference w:id="8"/>
      </w:r>
      <w:r w:rsidR="003E50B1" w:rsidRPr="000A4607">
        <w:rPr>
          <w:rFonts w:ascii="Arial" w:hAnsi="Arial" w:cs="Arial"/>
          <w:sz w:val="22"/>
          <w:szCs w:val="22"/>
          <w:lang w:val="en-GB"/>
        </w:rPr>
        <w:t xml:space="preserve"> što je šire u odnosu na </w:t>
      </w:r>
      <w:r w:rsidR="00540610" w:rsidRPr="000A4607">
        <w:rPr>
          <w:rFonts w:ascii="Arial" w:hAnsi="Arial" w:cs="Arial"/>
          <w:sz w:val="22"/>
          <w:szCs w:val="22"/>
          <w:lang w:val="en-GB"/>
        </w:rPr>
        <w:t xml:space="preserve">definiciju iz Direktive </w:t>
      </w:r>
      <w:r w:rsidR="000B0071" w:rsidRPr="000A4607">
        <w:rPr>
          <w:rFonts w:ascii="Arial" w:hAnsi="Arial" w:cs="Arial"/>
          <w:sz w:val="22"/>
          <w:szCs w:val="22"/>
          <w:lang w:val="en-GB"/>
        </w:rPr>
        <w:t>2014/18/EC.</w:t>
      </w:r>
      <w:r w:rsidR="001D4BC7" w:rsidRPr="000A4607">
        <w:rPr>
          <w:rStyle w:val="FootnoteReference"/>
          <w:rFonts w:ascii="Arial" w:hAnsi="Arial" w:cs="Arial"/>
          <w:sz w:val="22"/>
          <w:szCs w:val="22"/>
          <w:lang w:val="en-GB"/>
        </w:rPr>
        <w:footnoteReference w:id="9"/>
      </w:r>
      <w:r w:rsidR="000B0071" w:rsidRPr="000A4607">
        <w:rPr>
          <w:rFonts w:ascii="Arial" w:hAnsi="Arial" w:cs="Arial"/>
          <w:sz w:val="22"/>
          <w:szCs w:val="22"/>
          <w:lang w:val="en-GB"/>
        </w:rPr>
        <w:t xml:space="preserve"> </w:t>
      </w:r>
      <w:r w:rsidR="00243C81" w:rsidRPr="000A4607">
        <w:rPr>
          <w:rFonts w:ascii="Arial" w:hAnsi="Arial" w:cs="Arial"/>
          <w:sz w:val="22"/>
          <w:szCs w:val="22"/>
          <w:lang w:val="en-GB"/>
        </w:rPr>
        <w:t>Dodatan problem predstavlja i to što</w:t>
      </w:r>
      <w:r w:rsidR="00057A3E" w:rsidRPr="000A4607">
        <w:rPr>
          <w:rFonts w:ascii="Arial" w:hAnsi="Arial" w:cs="Arial"/>
          <w:sz w:val="22"/>
          <w:szCs w:val="22"/>
          <w:lang w:val="en-GB"/>
        </w:rPr>
        <w:t>,</w:t>
      </w:r>
      <w:r w:rsidR="00243C81" w:rsidRPr="000A4607">
        <w:rPr>
          <w:rFonts w:ascii="Arial" w:hAnsi="Arial" w:cs="Arial"/>
          <w:sz w:val="22"/>
          <w:szCs w:val="22"/>
          <w:lang w:val="en-GB"/>
        </w:rPr>
        <w:t xml:space="preserve"> iako definicija uključuje i obavljanje djelatnosti od javnog značaja, konces</w:t>
      </w:r>
      <w:r w:rsidR="007509E9" w:rsidRPr="000A4607">
        <w:rPr>
          <w:rFonts w:ascii="Arial" w:hAnsi="Arial" w:cs="Arial"/>
          <w:sz w:val="22"/>
          <w:szCs w:val="22"/>
          <w:lang w:val="en-GB"/>
        </w:rPr>
        <w:t>ionar ne koristi javno dobro u cilju</w:t>
      </w:r>
      <w:r w:rsidR="00243C81" w:rsidRPr="000A4607">
        <w:rPr>
          <w:rFonts w:ascii="Arial" w:hAnsi="Arial" w:cs="Arial"/>
          <w:sz w:val="22"/>
          <w:szCs w:val="22"/>
          <w:lang w:val="en-GB"/>
        </w:rPr>
        <w:t xml:space="preserve"> pružanja usluga za građane, već u svom ličnom interesu. “Zbog toga je koncesioni ugovor prije davanje licence od strane nadležnog organa nego obavezivanje ugovorne strane da pruža usluge za građane.”</w:t>
      </w:r>
      <w:r w:rsidR="00243C81" w:rsidRPr="000A4607">
        <w:rPr>
          <w:rStyle w:val="FootnoteReference"/>
          <w:rFonts w:ascii="Arial" w:hAnsi="Arial" w:cs="Arial"/>
          <w:sz w:val="22"/>
          <w:szCs w:val="22"/>
          <w:lang w:val="en-GB"/>
        </w:rPr>
        <w:footnoteReference w:id="10"/>
      </w:r>
      <w:r w:rsidR="00243C81" w:rsidRPr="000A4607">
        <w:rPr>
          <w:rFonts w:ascii="Arial" w:hAnsi="Arial" w:cs="Arial"/>
          <w:sz w:val="22"/>
          <w:szCs w:val="22"/>
          <w:lang w:val="en-GB"/>
        </w:rPr>
        <w:t xml:space="preserve"> Zakon ne definiše </w:t>
      </w:r>
      <w:r w:rsidR="00FB40A9" w:rsidRPr="000A4607">
        <w:rPr>
          <w:rFonts w:ascii="Arial" w:hAnsi="Arial" w:cs="Arial"/>
          <w:sz w:val="22"/>
          <w:szCs w:val="22"/>
          <w:lang w:val="en-GB"/>
        </w:rPr>
        <w:t xml:space="preserve">u skladu sa EU propisima koncesije za radove, kao </w:t>
      </w:r>
      <w:r w:rsidR="00FD3600" w:rsidRPr="000A4607">
        <w:rPr>
          <w:rFonts w:ascii="Arial" w:hAnsi="Arial" w:cs="Arial"/>
          <w:sz w:val="22"/>
          <w:szCs w:val="22"/>
          <w:lang w:val="en-GB"/>
        </w:rPr>
        <w:t>ni</w:t>
      </w:r>
      <w:r w:rsidR="00243C81" w:rsidRPr="000A4607">
        <w:rPr>
          <w:rFonts w:ascii="Arial" w:hAnsi="Arial" w:cs="Arial"/>
          <w:sz w:val="22"/>
          <w:szCs w:val="22"/>
          <w:lang w:val="en-GB"/>
        </w:rPr>
        <w:t xml:space="preserve"> </w:t>
      </w:r>
      <w:r w:rsidR="00FD3600" w:rsidRPr="000A4607">
        <w:rPr>
          <w:rFonts w:ascii="Arial" w:hAnsi="Arial" w:cs="Arial"/>
          <w:sz w:val="22"/>
          <w:szCs w:val="22"/>
          <w:lang w:val="en-GB"/>
        </w:rPr>
        <w:t>procedure za dodjelu koncesija.</w:t>
      </w:r>
      <w:r w:rsidR="00FD3600" w:rsidRPr="000A4607">
        <w:rPr>
          <w:rStyle w:val="FootnoteReference"/>
          <w:rFonts w:ascii="Arial" w:hAnsi="Arial" w:cs="Arial"/>
          <w:sz w:val="22"/>
          <w:szCs w:val="22"/>
          <w:lang w:val="en-GB"/>
        </w:rPr>
        <w:footnoteReference w:id="11"/>
      </w:r>
      <w:r w:rsidR="005A3CBB" w:rsidRPr="000A4607">
        <w:rPr>
          <w:rFonts w:ascii="Arial" w:hAnsi="Arial" w:cs="Arial"/>
          <w:sz w:val="22"/>
          <w:szCs w:val="22"/>
          <w:lang w:val="en-GB"/>
        </w:rPr>
        <w:t xml:space="preserve"> </w:t>
      </w:r>
      <w:r w:rsidRPr="000A4607">
        <w:rPr>
          <w:rFonts w:ascii="Arial" w:hAnsi="Arial" w:cs="Arial"/>
          <w:sz w:val="22"/>
          <w:szCs w:val="22"/>
          <w:lang w:val="en-GB"/>
        </w:rPr>
        <w:t>Iako Evropska komisija iz godine u godinu isti</w:t>
      </w:r>
      <w:r w:rsidR="00FB40A9" w:rsidRPr="000A4607">
        <w:rPr>
          <w:rFonts w:ascii="Arial" w:hAnsi="Arial" w:cs="Arial"/>
          <w:sz w:val="22"/>
          <w:szCs w:val="22"/>
          <w:lang w:val="en-GB"/>
        </w:rPr>
        <w:t>če problem neusklađenosti ovog Z</w:t>
      </w:r>
      <w:r w:rsidRPr="000A4607">
        <w:rPr>
          <w:rFonts w:ascii="Arial" w:hAnsi="Arial" w:cs="Arial"/>
          <w:sz w:val="22"/>
          <w:szCs w:val="22"/>
          <w:lang w:val="en-GB"/>
        </w:rPr>
        <w:t xml:space="preserve">akona sa </w:t>
      </w:r>
      <w:r w:rsidRPr="000A4607">
        <w:rPr>
          <w:rFonts w:ascii="Arial" w:hAnsi="Arial" w:cs="Arial"/>
          <w:i/>
          <w:sz w:val="22"/>
          <w:szCs w:val="22"/>
          <w:lang w:val="en-GB"/>
        </w:rPr>
        <w:t>acquis</w:t>
      </w:r>
      <w:r w:rsidRPr="000A4607">
        <w:rPr>
          <w:rFonts w:ascii="Arial" w:hAnsi="Arial" w:cs="Arial"/>
          <w:sz w:val="22"/>
          <w:szCs w:val="22"/>
          <w:lang w:val="en-GB"/>
        </w:rPr>
        <w:t>-jem</w:t>
      </w:r>
      <w:r w:rsidR="0000103C" w:rsidRPr="000A4607">
        <w:rPr>
          <w:rStyle w:val="FootnoteReference"/>
          <w:rFonts w:ascii="Arial" w:hAnsi="Arial" w:cs="Arial"/>
          <w:sz w:val="22"/>
          <w:szCs w:val="22"/>
          <w:lang w:val="en-GB"/>
        </w:rPr>
        <w:footnoteReference w:id="12"/>
      </w:r>
      <w:r w:rsidRPr="000A4607">
        <w:rPr>
          <w:rFonts w:ascii="Arial" w:hAnsi="Arial" w:cs="Arial"/>
          <w:sz w:val="22"/>
          <w:szCs w:val="22"/>
          <w:lang w:val="en-GB"/>
        </w:rPr>
        <w:t xml:space="preserve"> i dalje nema pravnog propisa koji bi unaprijedio regulisanje ove oblasti</w:t>
      </w:r>
      <w:r w:rsidR="00FB40A9" w:rsidRPr="000A4607">
        <w:rPr>
          <w:rFonts w:ascii="Arial" w:hAnsi="Arial" w:cs="Arial"/>
          <w:sz w:val="22"/>
          <w:szCs w:val="22"/>
          <w:lang w:val="en-GB"/>
        </w:rPr>
        <w:t xml:space="preserve">, </w:t>
      </w:r>
      <w:r w:rsidR="008949FE" w:rsidRPr="000A4607">
        <w:rPr>
          <w:rFonts w:ascii="Arial" w:hAnsi="Arial" w:cs="Arial"/>
          <w:sz w:val="22"/>
          <w:szCs w:val="22"/>
          <w:lang w:val="en-GB"/>
        </w:rPr>
        <w:t>dok je</w:t>
      </w:r>
      <w:r w:rsidR="00FB40A9" w:rsidRPr="000A4607">
        <w:rPr>
          <w:rFonts w:ascii="Arial" w:hAnsi="Arial" w:cs="Arial"/>
          <w:sz w:val="22"/>
          <w:szCs w:val="22"/>
          <w:lang w:val="en-GB"/>
        </w:rPr>
        <w:t xml:space="preserve"> radna grupa s</w:t>
      </w:r>
      <w:r w:rsidR="008573A3" w:rsidRPr="000A4607">
        <w:rPr>
          <w:rFonts w:ascii="Arial" w:hAnsi="Arial" w:cs="Arial"/>
          <w:sz w:val="22"/>
          <w:szCs w:val="22"/>
          <w:lang w:val="en-GB"/>
        </w:rPr>
        <w:t>a zadatkom da amandmanima unaprijedi postojeća zakonska rješenja</w:t>
      </w:r>
      <w:r w:rsidR="008949FE" w:rsidRPr="000A4607">
        <w:rPr>
          <w:rFonts w:ascii="Arial" w:hAnsi="Arial" w:cs="Arial"/>
          <w:sz w:val="22"/>
          <w:szCs w:val="22"/>
          <w:lang w:val="en-GB"/>
        </w:rPr>
        <w:t xml:space="preserve"> formirana jo</w:t>
      </w:r>
      <w:r w:rsidR="00063229" w:rsidRPr="000A4607">
        <w:rPr>
          <w:rFonts w:ascii="Arial" w:hAnsi="Arial" w:cs="Arial"/>
          <w:sz w:val="22"/>
          <w:szCs w:val="22"/>
          <w:lang w:val="en-GB"/>
        </w:rPr>
        <w:t xml:space="preserve">š 2011. </w:t>
      </w:r>
      <w:r w:rsidR="008949FE" w:rsidRPr="000A4607">
        <w:rPr>
          <w:rFonts w:ascii="Arial" w:hAnsi="Arial" w:cs="Arial"/>
          <w:sz w:val="22"/>
          <w:szCs w:val="22"/>
          <w:lang w:val="en-GB"/>
        </w:rPr>
        <w:t>godine</w:t>
      </w:r>
      <w:r w:rsidR="00FB40A9" w:rsidRPr="000A4607">
        <w:rPr>
          <w:rFonts w:ascii="Arial" w:hAnsi="Arial" w:cs="Arial"/>
          <w:sz w:val="22"/>
          <w:szCs w:val="22"/>
          <w:lang w:val="en-GB"/>
        </w:rPr>
        <w:t xml:space="preserve">. </w:t>
      </w:r>
    </w:p>
    <w:p w14:paraId="0C628252" w14:textId="77777777" w:rsidR="00F73CC4" w:rsidRPr="00F73CC4" w:rsidRDefault="00F73CC4" w:rsidP="00F73CC4">
      <w:pPr>
        <w:spacing w:line="276" w:lineRule="auto"/>
        <w:jc w:val="both"/>
        <w:rPr>
          <w:rFonts w:ascii="Arial" w:hAnsi="Arial" w:cs="Arial"/>
          <w:sz w:val="22"/>
          <w:szCs w:val="22"/>
          <w:lang w:val="en-GB"/>
        </w:rPr>
      </w:pPr>
    </w:p>
    <w:tbl>
      <w:tblPr>
        <w:tblStyle w:val="TableGrid"/>
        <w:tblW w:w="9639" w:type="dxa"/>
        <w:tblInd w:w="108" w:type="dxa"/>
        <w:tblBorders>
          <w:insideH w:val="none" w:sz="0" w:space="0" w:color="auto"/>
          <w:insideV w:val="none" w:sz="0" w:space="0" w:color="auto"/>
        </w:tblBorders>
        <w:shd w:val="clear" w:color="auto" w:fill="B3B3B3"/>
        <w:tblLook w:val="04A0" w:firstRow="1" w:lastRow="0" w:firstColumn="1" w:lastColumn="0" w:noHBand="0" w:noVBand="1"/>
      </w:tblPr>
      <w:tblGrid>
        <w:gridCol w:w="9639"/>
      </w:tblGrid>
      <w:tr w:rsidR="00F73CC4" w:rsidRPr="00F73CC4" w14:paraId="47CE1898" w14:textId="77777777" w:rsidTr="00F73CC4">
        <w:tc>
          <w:tcPr>
            <w:tcW w:w="9639" w:type="dxa"/>
            <w:shd w:val="clear" w:color="auto" w:fill="B3B3B3"/>
          </w:tcPr>
          <w:p w14:paraId="5C45A1C6" w14:textId="77777777" w:rsidR="00F73CC4" w:rsidRPr="00F73CC4" w:rsidRDefault="00F73CC4" w:rsidP="00D872D0">
            <w:pPr>
              <w:widowControl w:val="0"/>
              <w:tabs>
                <w:tab w:val="left" w:pos="220"/>
                <w:tab w:val="left" w:pos="720"/>
              </w:tabs>
              <w:autoSpaceDE w:val="0"/>
              <w:autoSpaceDN w:val="0"/>
              <w:adjustRightInd w:val="0"/>
              <w:jc w:val="both"/>
              <w:rPr>
                <w:rFonts w:ascii="Arial" w:hAnsi="Arial" w:cs="Tahoma"/>
                <w:sz w:val="22"/>
                <w:szCs w:val="22"/>
              </w:rPr>
            </w:pPr>
          </w:p>
          <w:p w14:paraId="765C2396" w14:textId="77777777" w:rsidR="00F73CC4" w:rsidRPr="00747613" w:rsidRDefault="00F73CC4" w:rsidP="00D872D0">
            <w:pPr>
              <w:widowControl w:val="0"/>
              <w:tabs>
                <w:tab w:val="left" w:pos="220"/>
                <w:tab w:val="left" w:pos="720"/>
              </w:tabs>
              <w:autoSpaceDE w:val="0"/>
              <w:autoSpaceDN w:val="0"/>
              <w:adjustRightInd w:val="0"/>
              <w:spacing w:after="240"/>
              <w:jc w:val="both"/>
              <w:rPr>
                <w:rFonts w:ascii="Arial" w:hAnsi="Arial" w:cs="Times"/>
                <w:i/>
                <w:sz w:val="22"/>
                <w:szCs w:val="22"/>
              </w:rPr>
            </w:pPr>
            <w:r w:rsidRPr="00747613">
              <w:rPr>
                <w:rFonts w:ascii="Arial" w:hAnsi="Arial" w:cs="Tahoma"/>
                <w:i/>
                <w:sz w:val="22"/>
                <w:szCs w:val="22"/>
              </w:rPr>
              <w:t>Stepen poznavanja oblasti koncesija na državnom i lokalnom nivou je veoma mali. Mali broj zaposlenih u ovim institucijama poznaje oblast koncesija i modalitete za njenu implementaciju.</w:t>
            </w:r>
            <w:r w:rsidRPr="00747613">
              <w:rPr>
                <w:rStyle w:val="FootnoteReference"/>
                <w:rFonts w:ascii="Arial" w:hAnsi="Arial" w:cs="Tahoma"/>
                <w:i/>
                <w:sz w:val="22"/>
                <w:szCs w:val="22"/>
              </w:rPr>
              <w:footnoteReference w:id="13"/>
            </w:r>
          </w:p>
        </w:tc>
      </w:tr>
    </w:tbl>
    <w:p w14:paraId="489256A9" w14:textId="77777777" w:rsidR="00F73CC4" w:rsidRPr="00F73CC4" w:rsidRDefault="00F73CC4" w:rsidP="00F73CC4">
      <w:pPr>
        <w:widowControl w:val="0"/>
        <w:tabs>
          <w:tab w:val="left" w:pos="220"/>
          <w:tab w:val="left" w:pos="720"/>
        </w:tabs>
        <w:autoSpaceDE w:val="0"/>
        <w:autoSpaceDN w:val="0"/>
        <w:adjustRightInd w:val="0"/>
        <w:jc w:val="both"/>
        <w:rPr>
          <w:rFonts w:ascii="Arial" w:hAnsi="Arial" w:cs="Tahoma"/>
          <w:i/>
          <w:sz w:val="22"/>
          <w:szCs w:val="22"/>
        </w:rPr>
      </w:pPr>
    </w:p>
    <w:p w14:paraId="50E05026" w14:textId="4C82C4F9" w:rsidR="00F73CC4" w:rsidRPr="00F73CC4" w:rsidRDefault="00F73CC4" w:rsidP="00747613">
      <w:pPr>
        <w:widowControl w:val="0"/>
        <w:tabs>
          <w:tab w:val="left" w:pos="220"/>
          <w:tab w:val="left" w:pos="720"/>
        </w:tabs>
        <w:autoSpaceDE w:val="0"/>
        <w:autoSpaceDN w:val="0"/>
        <w:adjustRightInd w:val="0"/>
        <w:spacing w:after="240" w:line="276" w:lineRule="auto"/>
        <w:jc w:val="both"/>
        <w:rPr>
          <w:rFonts w:ascii="Arial" w:hAnsi="Arial" w:cs="Tahoma"/>
          <w:sz w:val="22"/>
          <w:szCs w:val="22"/>
        </w:rPr>
      </w:pPr>
      <w:r w:rsidRPr="00F73CC4">
        <w:rPr>
          <w:rFonts w:ascii="Arial" w:hAnsi="Arial" w:cs="Tahoma"/>
          <w:sz w:val="22"/>
          <w:szCs w:val="22"/>
        </w:rPr>
        <w:t>U Crnoj Gori ne postoji i</w:t>
      </w:r>
      <w:r w:rsidR="007F437F">
        <w:rPr>
          <w:rFonts w:ascii="Arial" w:hAnsi="Arial" w:cs="Tahoma"/>
          <w:sz w:val="22"/>
          <w:szCs w:val="22"/>
        </w:rPr>
        <w:t>n</w:t>
      </w:r>
      <w:r w:rsidRPr="00F73CC4">
        <w:rPr>
          <w:rFonts w:ascii="Arial" w:hAnsi="Arial" w:cs="Tahoma"/>
          <w:sz w:val="22"/>
          <w:szCs w:val="22"/>
        </w:rPr>
        <w:t>stitucija koja reguliše oblast koncesija. Komisija za koncesije vodi drugostepeni postupak, odnosno rješava prigovore učesnika u postupku davanja koncesija, a koji su u vezi s vrednovanjem i rang listom odluka o dodjeli koncesija; sačinjava i vodi registar ugovora o koncesijama; odobrava produženje roka davanja koncesija ili proširenja prostora za obavljanje koncesione djelatnosti.</w:t>
      </w:r>
      <w:r w:rsidRPr="00F73CC4">
        <w:rPr>
          <w:rStyle w:val="FootnoteReference"/>
          <w:rFonts w:ascii="Arial" w:hAnsi="Arial" w:cs="Tahoma"/>
          <w:sz w:val="22"/>
          <w:szCs w:val="22"/>
        </w:rPr>
        <w:footnoteReference w:id="14"/>
      </w:r>
      <w:r w:rsidR="009A7B5A">
        <w:rPr>
          <w:rFonts w:ascii="Arial" w:hAnsi="Arial" w:cs="Tahoma"/>
          <w:sz w:val="22"/>
          <w:szCs w:val="22"/>
        </w:rPr>
        <w:t xml:space="preserve"> </w:t>
      </w:r>
      <w:r w:rsidRPr="00F73CC4">
        <w:rPr>
          <w:rFonts w:ascii="Arial" w:hAnsi="Arial" w:cs="Tahoma"/>
          <w:sz w:val="22"/>
          <w:szCs w:val="22"/>
        </w:rPr>
        <w:t>Komisija za koncesije je od svog uspostavljanja 2009. godine r</w:t>
      </w:r>
      <w:r w:rsidR="009F3C8D">
        <w:rPr>
          <w:rFonts w:ascii="Arial" w:hAnsi="Arial" w:cs="Tahoma"/>
          <w:sz w:val="22"/>
          <w:szCs w:val="22"/>
        </w:rPr>
        <w:t>azmatrala ukupno 13</w:t>
      </w:r>
      <w:r w:rsidRPr="00F73CC4">
        <w:rPr>
          <w:rFonts w:ascii="Arial" w:hAnsi="Arial" w:cs="Tahoma"/>
          <w:sz w:val="22"/>
          <w:szCs w:val="22"/>
        </w:rPr>
        <w:t xml:space="preserve"> prigovora u postupcima dodjele koncesija</w:t>
      </w:r>
      <w:r w:rsidR="00122C59">
        <w:rPr>
          <w:rFonts w:ascii="Arial" w:hAnsi="Arial" w:cs="Tahoma"/>
          <w:sz w:val="22"/>
          <w:szCs w:val="22"/>
        </w:rPr>
        <w:t>. Ovaj broj uključuje</w:t>
      </w:r>
      <w:r w:rsidR="00A03789">
        <w:rPr>
          <w:rFonts w:ascii="Arial" w:hAnsi="Arial" w:cs="Tahoma"/>
          <w:sz w:val="22"/>
          <w:szCs w:val="22"/>
        </w:rPr>
        <w:t xml:space="preserve"> i </w:t>
      </w:r>
      <w:r w:rsidR="00122C59">
        <w:rPr>
          <w:rFonts w:ascii="Arial" w:hAnsi="Arial" w:cs="Tahoma"/>
          <w:sz w:val="22"/>
          <w:szCs w:val="22"/>
        </w:rPr>
        <w:t>razmatranje tužbi koje su podnesene Upravnom sudu a na rješenja ove Komisije</w:t>
      </w:r>
      <w:r w:rsidRPr="00F73CC4">
        <w:rPr>
          <w:rFonts w:ascii="Arial" w:hAnsi="Arial" w:cs="Tahoma"/>
          <w:sz w:val="22"/>
          <w:szCs w:val="22"/>
        </w:rPr>
        <w:t xml:space="preserve">. </w:t>
      </w:r>
    </w:p>
    <w:p w14:paraId="486FAA68" w14:textId="6A08A0F8" w:rsidR="00F73CC4" w:rsidRPr="00F73CC4" w:rsidRDefault="00F73CC4" w:rsidP="00F73CC4">
      <w:pPr>
        <w:widowControl w:val="0"/>
        <w:tabs>
          <w:tab w:val="left" w:pos="220"/>
          <w:tab w:val="left" w:pos="720"/>
        </w:tabs>
        <w:autoSpaceDE w:val="0"/>
        <w:autoSpaceDN w:val="0"/>
        <w:adjustRightInd w:val="0"/>
        <w:spacing w:after="240"/>
        <w:jc w:val="both"/>
        <w:rPr>
          <w:rFonts w:ascii="Arial" w:hAnsi="Arial" w:cs="Tahoma"/>
          <w:b/>
          <w:sz w:val="22"/>
          <w:szCs w:val="22"/>
        </w:rPr>
      </w:pPr>
      <w:r w:rsidRPr="00F73CC4">
        <w:rPr>
          <w:rFonts w:ascii="Arial" w:hAnsi="Arial" w:cs="Tahoma"/>
          <w:b/>
          <w:sz w:val="22"/>
          <w:szCs w:val="22"/>
        </w:rPr>
        <w:t xml:space="preserve">Broj prigovora o kojima je odlučivala Komisija za koncesije </w:t>
      </w:r>
    </w:p>
    <w:tbl>
      <w:tblPr>
        <w:tblStyle w:val="LightShading"/>
        <w:tblW w:w="9747" w:type="dxa"/>
        <w:tblLook w:val="04A0" w:firstRow="1" w:lastRow="0" w:firstColumn="1" w:lastColumn="0" w:noHBand="0" w:noVBand="1"/>
      </w:tblPr>
      <w:tblGrid>
        <w:gridCol w:w="2436"/>
        <w:gridCol w:w="2437"/>
        <w:gridCol w:w="2437"/>
        <w:gridCol w:w="2437"/>
      </w:tblGrid>
      <w:tr w:rsidR="009F3C8D" w:rsidRPr="00F73CC4" w14:paraId="03FD3ED8" w14:textId="77777777" w:rsidTr="009F3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14:paraId="7EE92122" w14:textId="77777777" w:rsidR="009F3C8D" w:rsidRPr="00F73CC4" w:rsidRDefault="009F3C8D"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2010.</w:t>
            </w:r>
          </w:p>
        </w:tc>
        <w:tc>
          <w:tcPr>
            <w:tcW w:w="2437" w:type="dxa"/>
          </w:tcPr>
          <w:p w14:paraId="50A90EE2" w14:textId="77777777" w:rsidR="009F3C8D" w:rsidRPr="00F73CC4" w:rsidRDefault="009F3C8D" w:rsidP="00D872D0">
            <w:pPr>
              <w:widowControl w:val="0"/>
              <w:tabs>
                <w:tab w:val="left" w:pos="220"/>
                <w:tab w:val="left" w:pos="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Times"/>
                <w:sz w:val="22"/>
                <w:szCs w:val="22"/>
              </w:rPr>
            </w:pPr>
            <w:r w:rsidRPr="00F73CC4">
              <w:rPr>
                <w:rFonts w:ascii="Arial" w:hAnsi="Arial" w:cs="Times"/>
                <w:sz w:val="22"/>
                <w:szCs w:val="22"/>
              </w:rPr>
              <w:t>2011.</w:t>
            </w:r>
          </w:p>
        </w:tc>
        <w:tc>
          <w:tcPr>
            <w:tcW w:w="2437" w:type="dxa"/>
          </w:tcPr>
          <w:p w14:paraId="7DF2F707" w14:textId="77777777" w:rsidR="009F3C8D" w:rsidRPr="00F73CC4" w:rsidRDefault="009F3C8D" w:rsidP="00D872D0">
            <w:pPr>
              <w:widowControl w:val="0"/>
              <w:tabs>
                <w:tab w:val="left" w:pos="220"/>
                <w:tab w:val="left" w:pos="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Times"/>
                <w:b w:val="0"/>
                <w:bCs w:val="0"/>
                <w:sz w:val="22"/>
                <w:szCs w:val="22"/>
              </w:rPr>
            </w:pPr>
            <w:r w:rsidRPr="00F73CC4">
              <w:rPr>
                <w:rFonts w:ascii="Arial" w:hAnsi="Arial" w:cs="Times"/>
                <w:sz w:val="22"/>
                <w:szCs w:val="22"/>
              </w:rPr>
              <w:t>2012.</w:t>
            </w:r>
          </w:p>
        </w:tc>
        <w:tc>
          <w:tcPr>
            <w:tcW w:w="2437" w:type="dxa"/>
          </w:tcPr>
          <w:p w14:paraId="00ACE5EC" w14:textId="6CFBBF0D" w:rsidR="009F3C8D" w:rsidRPr="00F73CC4" w:rsidRDefault="009F3C8D" w:rsidP="00D872D0">
            <w:pPr>
              <w:widowControl w:val="0"/>
              <w:tabs>
                <w:tab w:val="left" w:pos="220"/>
                <w:tab w:val="left" w:pos="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Times"/>
                <w:sz w:val="22"/>
                <w:szCs w:val="22"/>
              </w:rPr>
            </w:pPr>
            <w:r>
              <w:rPr>
                <w:rFonts w:ascii="Arial" w:hAnsi="Arial" w:cs="Times"/>
                <w:sz w:val="22"/>
                <w:szCs w:val="22"/>
              </w:rPr>
              <w:t>2013.</w:t>
            </w:r>
          </w:p>
        </w:tc>
      </w:tr>
      <w:tr w:rsidR="009F3C8D" w:rsidRPr="00F73CC4" w14:paraId="2788C8CE" w14:textId="77777777" w:rsidTr="009F3C8D">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436" w:type="dxa"/>
          </w:tcPr>
          <w:p w14:paraId="2560891D" w14:textId="77777777" w:rsidR="009F3C8D" w:rsidRPr="00F73CC4" w:rsidRDefault="009F3C8D"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7</w:t>
            </w:r>
          </w:p>
        </w:tc>
        <w:tc>
          <w:tcPr>
            <w:tcW w:w="2437" w:type="dxa"/>
          </w:tcPr>
          <w:p w14:paraId="0378D5B1" w14:textId="77777777" w:rsidR="009F3C8D" w:rsidRPr="00F73CC4" w:rsidRDefault="009F3C8D" w:rsidP="00D872D0">
            <w:pPr>
              <w:widowControl w:val="0"/>
              <w:tabs>
                <w:tab w:val="left" w:pos="220"/>
                <w:tab w:val="left" w:pos="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Times"/>
                <w:b/>
                <w:sz w:val="22"/>
                <w:szCs w:val="22"/>
              </w:rPr>
            </w:pPr>
            <w:r w:rsidRPr="00F73CC4">
              <w:rPr>
                <w:rFonts w:ascii="Arial" w:hAnsi="Arial" w:cs="Times"/>
                <w:b/>
                <w:sz w:val="22"/>
                <w:szCs w:val="22"/>
              </w:rPr>
              <w:t>3</w:t>
            </w:r>
          </w:p>
        </w:tc>
        <w:tc>
          <w:tcPr>
            <w:tcW w:w="2437" w:type="dxa"/>
          </w:tcPr>
          <w:p w14:paraId="668FC241" w14:textId="77777777" w:rsidR="009F3C8D" w:rsidRPr="00F73CC4" w:rsidRDefault="009F3C8D" w:rsidP="00D872D0">
            <w:pPr>
              <w:widowControl w:val="0"/>
              <w:tabs>
                <w:tab w:val="left" w:pos="220"/>
                <w:tab w:val="left" w:pos="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Times"/>
                <w:b/>
                <w:sz w:val="22"/>
                <w:szCs w:val="22"/>
              </w:rPr>
            </w:pPr>
            <w:r w:rsidRPr="00F73CC4">
              <w:rPr>
                <w:rFonts w:ascii="Arial" w:hAnsi="Arial" w:cs="Times"/>
                <w:b/>
                <w:sz w:val="22"/>
                <w:szCs w:val="22"/>
              </w:rPr>
              <w:t>2</w:t>
            </w:r>
          </w:p>
        </w:tc>
        <w:tc>
          <w:tcPr>
            <w:tcW w:w="2437" w:type="dxa"/>
          </w:tcPr>
          <w:p w14:paraId="4DAAABAC" w14:textId="341C290E" w:rsidR="009F3C8D" w:rsidRPr="00F73CC4" w:rsidRDefault="009F3C8D" w:rsidP="00D872D0">
            <w:pPr>
              <w:widowControl w:val="0"/>
              <w:tabs>
                <w:tab w:val="left" w:pos="220"/>
                <w:tab w:val="left" w:pos="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Times"/>
                <w:b/>
                <w:sz w:val="22"/>
                <w:szCs w:val="22"/>
              </w:rPr>
            </w:pPr>
            <w:r>
              <w:rPr>
                <w:rFonts w:ascii="Arial" w:hAnsi="Arial" w:cs="Times"/>
                <w:b/>
                <w:sz w:val="22"/>
                <w:szCs w:val="22"/>
              </w:rPr>
              <w:t>1</w:t>
            </w:r>
          </w:p>
        </w:tc>
      </w:tr>
    </w:tbl>
    <w:p w14:paraId="458C446D" w14:textId="77777777" w:rsidR="00F73CC4" w:rsidRPr="00F73CC4" w:rsidRDefault="00F73CC4" w:rsidP="00F73CC4">
      <w:pPr>
        <w:widowControl w:val="0"/>
        <w:tabs>
          <w:tab w:val="left" w:pos="220"/>
          <w:tab w:val="left" w:pos="720"/>
        </w:tabs>
        <w:autoSpaceDE w:val="0"/>
        <w:autoSpaceDN w:val="0"/>
        <w:adjustRightInd w:val="0"/>
        <w:jc w:val="both"/>
        <w:rPr>
          <w:rFonts w:ascii="Arial" w:hAnsi="Arial" w:cs="Times"/>
          <w:i/>
          <w:sz w:val="22"/>
          <w:szCs w:val="22"/>
        </w:rPr>
      </w:pPr>
    </w:p>
    <w:p w14:paraId="3129EF47" w14:textId="77777777" w:rsidR="00F73CC4" w:rsidRPr="00F73CC4" w:rsidRDefault="00F73CC4" w:rsidP="00747613">
      <w:pPr>
        <w:widowControl w:val="0"/>
        <w:tabs>
          <w:tab w:val="left" w:pos="220"/>
          <w:tab w:val="left" w:pos="720"/>
        </w:tabs>
        <w:autoSpaceDE w:val="0"/>
        <w:autoSpaceDN w:val="0"/>
        <w:adjustRightInd w:val="0"/>
        <w:spacing w:after="240" w:line="276" w:lineRule="auto"/>
        <w:jc w:val="both"/>
        <w:rPr>
          <w:rFonts w:ascii="Arial" w:hAnsi="Arial" w:cs="Times"/>
          <w:sz w:val="22"/>
          <w:szCs w:val="22"/>
        </w:rPr>
      </w:pPr>
      <w:r w:rsidRPr="00F73CC4">
        <w:rPr>
          <w:rFonts w:ascii="Arial" w:hAnsi="Arial" w:cs="Times"/>
          <w:sz w:val="22"/>
          <w:szCs w:val="22"/>
        </w:rPr>
        <w:t>I pored ograničenog obima aktivnosti, Komisija za koncesije dobija značajna sredstva za svoj rad na godišnjem nivou. Takođe, interesantno je da su do 2014. godine, iz državnog budžeta izdvajana sredstva za rad Komisije za koncesije i BOT aranžmane, koja je uspostavljena 2003. godine,</w:t>
      </w:r>
      <w:r w:rsidRPr="00F73CC4">
        <w:rPr>
          <w:rStyle w:val="FootnoteReference"/>
          <w:rFonts w:ascii="Arial" w:hAnsi="Arial" w:cs="Times"/>
          <w:sz w:val="22"/>
          <w:szCs w:val="22"/>
        </w:rPr>
        <w:footnoteReference w:id="15"/>
      </w:r>
      <w:r w:rsidRPr="00F73CC4">
        <w:rPr>
          <w:rFonts w:ascii="Arial" w:hAnsi="Arial" w:cs="Times"/>
          <w:sz w:val="22"/>
          <w:szCs w:val="22"/>
        </w:rPr>
        <w:t xml:space="preserve"> iako po Zakonu iz 2009. godine ovo tijelo nije prepoznato kao nadležno za postupak davanja koncesija. Takođe, Zakon predviđa da će ovo tijelo vršiti poslove Komisije za koncesije do uspostavljanja nove (2009.). Izvještaji o radu ovog tijela nisu dostupni. </w:t>
      </w:r>
    </w:p>
    <w:p w14:paraId="30CD3CED" w14:textId="77777777" w:rsidR="00F73CC4" w:rsidRPr="00F73CC4" w:rsidRDefault="00F73CC4" w:rsidP="00F73CC4">
      <w:pPr>
        <w:widowControl w:val="0"/>
        <w:tabs>
          <w:tab w:val="left" w:pos="220"/>
          <w:tab w:val="left" w:pos="720"/>
        </w:tabs>
        <w:autoSpaceDE w:val="0"/>
        <w:autoSpaceDN w:val="0"/>
        <w:adjustRightInd w:val="0"/>
        <w:jc w:val="both"/>
        <w:rPr>
          <w:rFonts w:ascii="Arial" w:hAnsi="Arial" w:cs="Times"/>
          <w:b/>
          <w:sz w:val="22"/>
          <w:szCs w:val="22"/>
        </w:rPr>
      </w:pPr>
      <w:r w:rsidRPr="00F73CC4">
        <w:rPr>
          <w:rFonts w:ascii="Arial" w:hAnsi="Arial" w:cs="Times"/>
          <w:b/>
          <w:sz w:val="22"/>
          <w:szCs w:val="22"/>
        </w:rPr>
        <w:t xml:space="preserve">Finansijska sredstva opredijeljena iz budžeta za rad Komisije za koncesije </w:t>
      </w:r>
    </w:p>
    <w:p w14:paraId="4CA72A89" w14:textId="77777777" w:rsidR="00F73CC4" w:rsidRPr="00F73CC4" w:rsidRDefault="00F73CC4" w:rsidP="00F73CC4">
      <w:pPr>
        <w:widowControl w:val="0"/>
        <w:tabs>
          <w:tab w:val="left" w:pos="220"/>
          <w:tab w:val="left" w:pos="720"/>
        </w:tabs>
        <w:autoSpaceDE w:val="0"/>
        <w:autoSpaceDN w:val="0"/>
        <w:adjustRightInd w:val="0"/>
        <w:jc w:val="both"/>
        <w:rPr>
          <w:rFonts w:ascii="Arial" w:hAnsi="Arial" w:cs="Times"/>
          <w:b/>
          <w:sz w:val="22"/>
          <w:szCs w:val="22"/>
        </w:rPr>
      </w:pPr>
    </w:p>
    <w:tbl>
      <w:tblPr>
        <w:tblStyle w:val="TableGrid"/>
        <w:tblW w:w="9639" w:type="dxa"/>
        <w:tblInd w:w="108" w:type="dxa"/>
        <w:tblLook w:val="04A0" w:firstRow="1" w:lastRow="0" w:firstColumn="1" w:lastColumn="0" w:noHBand="0" w:noVBand="1"/>
      </w:tblPr>
      <w:tblGrid>
        <w:gridCol w:w="1927"/>
        <w:gridCol w:w="1928"/>
        <w:gridCol w:w="1928"/>
        <w:gridCol w:w="1928"/>
        <w:gridCol w:w="1928"/>
      </w:tblGrid>
      <w:tr w:rsidR="00F73CC4" w:rsidRPr="00F73CC4" w14:paraId="5C8F21EB" w14:textId="77777777" w:rsidTr="003E69A4">
        <w:trPr>
          <w:trHeight w:val="253"/>
        </w:trPr>
        <w:tc>
          <w:tcPr>
            <w:tcW w:w="1927" w:type="dxa"/>
          </w:tcPr>
          <w:p w14:paraId="4417ACD3"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b/>
                <w:sz w:val="22"/>
                <w:szCs w:val="22"/>
              </w:rPr>
            </w:pPr>
            <w:r w:rsidRPr="00F73CC4">
              <w:rPr>
                <w:rFonts w:ascii="Arial" w:hAnsi="Arial" w:cs="Times"/>
                <w:b/>
                <w:sz w:val="22"/>
                <w:szCs w:val="22"/>
              </w:rPr>
              <w:t>2010.</w:t>
            </w:r>
          </w:p>
        </w:tc>
        <w:tc>
          <w:tcPr>
            <w:tcW w:w="1928" w:type="dxa"/>
          </w:tcPr>
          <w:p w14:paraId="5B4DF96F"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b/>
                <w:sz w:val="22"/>
                <w:szCs w:val="22"/>
              </w:rPr>
            </w:pPr>
            <w:r w:rsidRPr="00F73CC4">
              <w:rPr>
                <w:rFonts w:ascii="Arial" w:hAnsi="Arial" w:cs="Times"/>
                <w:b/>
                <w:sz w:val="22"/>
                <w:szCs w:val="22"/>
              </w:rPr>
              <w:t>2011.</w:t>
            </w:r>
          </w:p>
        </w:tc>
        <w:tc>
          <w:tcPr>
            <w:tcW w:w="1928" w:type="dxa"/>
          </w:tcPr>
          <w:p w14:paraId="59670EE9"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b/>
                <w:sz w:val="22"/>
                <w:szCs w:val="22"/>
              </w:rPr>
            </w:pPr>
            <w:r w:rsidRPr="00F73CC4">
              <w:rPr>
                <w:rFonts w:ascii="Arial" w:hAnsi="Arial" w:cs="Times"/>
                <w:b/>
                <w:sz w:val="22"/>
                <w:szCs w:val="22"/>
              </w:rPr>
              <w:t>2012.</w:t>
            </w:r>
          </w:p>
        </w:tc>
        <w:tc>
          <w:tcPr>
            <w:tcW w:w="1928" w:type="dxa"/>
          </w:tcPr>
          <w:p w14:paraId="61B3D696"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b/>
                <w:sz w:val="22"/>
                <w:szCs w:val="22"/>
              </w:rPr>
            </w:pPr>
            <w:r w:rsidRPr="00F73CC4">
              <w:rPr>
                <w:rFonts w:ascii="Arial" w:hAnsi="Arial" w:cs="Times"/>
                <w:b/>
                <w:sz w:val="22"/>
                <w:szCs w:val="22"/>
              </w:rPr>
              <w:t>2013.</w:t>
            </w:r>
          </w:p>
        </w:tc>
        <w:tc>
          <w:tcPr>
            <w:tcW w:w="1928" w:type="dxa"/>
          </w:tcPr>
          <w:p w14:paraId="4B3C1F71"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b/>
                <w:sz w:val="22"/>
                <w:szCs w:val="22"/>
              </w:rPr>
            </w:pPr>
            <w:r w:rsidRPr="00F73CC4">
              <w:rPr>
                <w:rFonts w:ascii="Arial" w:hAnsi="Arial" w:cs="Times"/>
                <w:b/>
                <w:sz w:val="22"/>
                <w:szCs w:val="22"/>
              </w:rPr>
              <w:t>2014.</w:t>
            </w:r>
          </w:p>
        </w:tc>
      </w:tr>
      <w:tr w:rsidR="00F73CC4" w:rsidRPr="00F73CC4" w14:paraId="15E5D2BF" w14:textId="77777777" w:rsidTr="003E69A4">
        <w:trPr>
          <w:trHeight w:val="253"/>
        </w:trPr>
        <w:tc>
          <w:tcPr>
            <w:tcW w:w="9639" w:type="dxa"/>
            <w:gridSpan w:val="5"/>
          </w:tcPr>
          <w:p w14:paraId="7A15157A"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b/>
                <w:sz w:val="22"/>
                <w:szCs w:val="22"/>
              </w:rPr>
            </w:pPr>
            <w:r w:rsidRPr="00F73CC4">
              <w:rPr>
                <w:rFonts w:ascii="Arial" w:hAnsi="Arial" w:cs="Times"/>
                <w:b/>
                <w:sz w:val="22"/>
                <w:szCs w:val="22"/>
              </w:rPr>
              <w:t xml:space="preserve">Komisija za koncesije </w:t>
            </w:r>
          </w:p>
        </w:tc>
      </w:tr>
      <w:tr w:rsidR="00F73CC4" w:rsidRPr="00F73CC4" w14:paraId="5763CA48" w14:textId="77777777" w:rsidTr="003E69A4">
        <w:trPr>
          <w:trHeight w:val="253"/>
        </w:trPr>
        <w:tc>
          <w:tcPr>
            <w:tcW w:w="1927" w:type="dxa"/>
          </w:tcPr>
          <w:p w14:paraId="2CD2B2BE"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77,415.20</w:t>
            </w:r>
          </w:p>
        </w:tc>
        <w:tc>
          <w:tcPr>
            <w:tcW w:w="1928" w:type="dxa"/>
          </w:tcPr>
          <w:p w14:paraId="2A1FF632"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Arial"/>
                <w:bCs/>
                <w:sz w:val="22"/>
                <w:szCs w:val="22"/>
              </w:rPr>
              <w:t>95.815,20</w:t>
            </w:r>
          </w:p>
        </w:tc>
        <w:tc>
          <w:tcPr>
            <w:tcW w:w="1928" w:type="dxa"/>
          </w:tcPr>
          <w:p w14:paraId="2734A778"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88.634,73</w:t>
            </w:r>
          </w:p>
        </w:tc>
        <w:tc>
          <w:tcPr>
            <w:tcW w:w="1928" w:type="dxa"/>
          </w:tcPr>
          <w:p w14:paraId="2A096F20" w14:textId="77777777" w:rsidR="00F73CC4" w:rsidRPr="00F73CC4" w:rsidRDefault="00F73CC4" w:rsidP="00D872D0">
            <w:pPr>
              <w:jc w:val="center"/>
              <w:rPr>
                <w:rFonts w:ascii="Arial" w:hAnsi="Arial" w:cs="Times"/>
                <w:sz w:val="22"/>
                <w:szCs w:val="22"/>
              </w:rPr>
            </w:pPr>
            <w:r w:rsidRPr="00F73CC4">
              <w:rPr>
                <w:rFonts w:ascii="Arial" w:hAnsi="Arial" w:cs="Times"/>
                <w:sz w:val="22"/>
                <w:szCs w:val="22"/>
              </w:rPr>
              <w:t>96.500,00</w:t>
            </w:r>
          </w:p>
        </w:tc>
        <w:tc>
          <w:tcPr>
            <w:tcW w:w="1928" w:type="dxa"/>
          </w:tcPr>
          <w:p w14:paraId="46F8F1DF"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95.500.00</w:t>
            </w:r>
          </w:p>
        </w:tc>
      </w:tr>
      <w:tr w:rsidR="00F73CC4" w:rsidRPr="00F73CC4" w14:paraId="77007C14" w14:textId="77777777" w:rsidTr="003E69A4">
        <w:trPr>
          <w:trHeight w:val="253"/>
        </w:trPr>
        <w:tc>
          <w:tcPr>
            <w:tcW w:w="9639" w:type="dxa"/>
            <w:gridSpan w:val="5"/>
          </w:tcPr>
          <w:p w14:paraId="2A5416EE"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b/>
                <w:sz w:val="22"/>
                <w:szCs w:val="22"/>
              </w:rPr>
            </w:pPr>
            <w:r w:rsidRPr="00F73CC4">
              <w:rPr>
                <w:rFonts w:ascii="Arial" w:hAnsi="Arial" w:cs="Times"/>
                <w:b/>
                <w:sz w:val="22"/>
                <w:szCs w:val="22"/>
              </w:rPr>
              <w:t>Komisija za koncesije i BOT aranžmane</w:t>
            </w:r>
          </w:p>
        </w:tc>
      </w:tr>
      <w:tr w:rsidR="00F73CC4" w:rsidRPr="00F73CC4" w14:paraId="61A8BC42" w14:textId="77777777" w:rsidTr="003E69A4">
        <w:trPr>
          <w:trHeight w:val="253"/>
        </w:trPr>
        <w:tc>
          <w:tcPr>
            <w:tcW w:w="1927" w:type="dxa"/>
          </w:tcPr>
          <w:p w14:paraId="68A50060"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26,100.00</w:t>
            </w:r>
          </w:p>
        </w:tc>
        <w:tc>
          <w:tcPr>
            <w:tcW w:w="1928" w:type="dxa"/>
          </w:tcPr>
          <w:p w14:paraId="1D0C5F7C"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Arial"/>
                <w:bCs/>
                <w:sz w:val="22"/>
                <w:szCs w:val="22"/>
              </w:rPr>
              <w:t>29.100,00</w:t>
            </w:r>
          </w:p>
        </w:tc>
        <w:tc>
          <w:tcPr>
            <w:tcW w:w="1928" w:type="dxa"/>
          </w:tcPr>
          <w:p w14:paraId="7EB7CE24"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35.590,47</w:t>
            </w:r>
          </w:p>
        </w:tc>
        <w:tc>
          <w:tcPr>
            <w:tcW w:w="1928" w:type="dxa"/>
          </w:tcPr>
          <w:p w14:paraId="6C6C40D3"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22.500,00</w:t>
            </w:r>
          </w:p>
        </w:tc>
        <w:tc>
          <w:tcPr>
            <w:tcW w:w="1928" w:type="dxa"/>
          </w:tcPr>
          <w:p w14:paraId="0FFFC156" w14:textId="77777777" w:rsidR="00F73CC4" w:rsidRPr="00F73CC4" w:rsidRDefault="00F73CC4" w:rsidP="00D872D0">
            <w:pPr>
              <w:widowControl w:val="0"/>
              <w:tabs>
                <w:tab w:val="left" w:pos="220"/>
                <w:tab w:val="left" w:pos="720"/>
              </w:tabs>
              <w:autoSpaceDE w:val="0"/>
              <w:autoSpaceDN w:val="0"/>
              <w:adjustRightInd w:val="0"/>
              <w:jc w:val="center"/>
              <w:rPr>
                <w:rFonts w:ascii="Arial" w:hAnsi="Arial" w:cs="Times"/>
                <w:sz w:val="22"/>
                <w:szCs w:val="22"/>
              </w:rPr>
            </w:pPr>
            <w:r w:rsidRPr="00F73CC4">
              <w:rPr>
                <w:rFonts w:ascii="Arial" w:hAnsi="Arial" w:cs="Times"/>
                <w:sz w:val="22"/>
                <w:szCs w:val="22"/>
              </w:rPr>
              <w:t>/</w:t>
            </w:r>
          </w:p>
        </w:tc>
      </w:tr>
    </w:tbl>
    <w:p w14:paraId="214B1CC6" w14:textId="77777777" w:rsidR="00F73CC4" w:rsidRPr="00F73CC4" w:rsidRDefault="00F73CC4" w:rsidP="00F73CC4">
      <w:pPr>
        <w:widowControl w:val="0"/>
        <w:tabs>
          <w:tab w:val="left" w:pos="220"/>
          <w:tab w:val="left" w:pos="720"/>
        </w:tabs>
        <w:autoSpaceDE w:val="0"/>
        <w:autoSpaceDN w:val="0"/>
        <w:adjustRightInd w:val="0"/>
        <w:jc w:val="both"/>
        <w:rPr>
          <w:rFonts w:ascii="Arial" w:hAnsi="Arial" w:cs="Tahoma"/>
          <w:i/>
          <w:sz w:val="22"/>
          <w:szCs w:val="22"/>
        </w:rPr>
      </w:pPr>
    </w:p>
    <w:p w14:paraId="5146B3FF" w14:textId="36CE1C50" w:rsidR="003E69A4" w:rsidRPr="00F26DEA" w:rsidRDefault="00F73CC4" w:rsidP="00F26DEA">
      <w:pPr>
        <w:widowControl w:val="0"/>
        <w:tabs>
          <w:tab w:val="left" w:pos="220"/>
          <w:tab w:val="left" w:pos="720"/>
        </w:tabs>
        <w:autoSpaceDE w:val="0"/>
        <w:autoSpaceDN w:val="0"/>
        <w:adjustRightInd w:val="0"/>
        <w:jc w:val="both"/>
        <w:rPr>
          <w:rFonts w:ascii="Arial" w:hAnsi="Arial" w:cs="Arial"/>
          <w:i/>
          <w:sz w:val="22"/>
          <w:szCs w:val="22"/>
        </w:rPr>
      </w:pPr>
      <w:r w:rsidRPr="00F73CC4">
        <w:rPr>
          <w:rFonts w:ascii="Arial" w:eastAsia="Times New Roman" w:hAnsi="Arial" w:cs="Times New Roman"/>
          <w:sz w:val="22"/>
          <w:szCs w:val="22"/>
          <w:shd w:val="clear" w:color="auto" w:fill="FFFFFF"/>
        </w:rPr>
        <w:t>Pored neadekvatnog institucionalnog uređenja za oblast koncesija, prisutna je i loša koordinacija između institucija na nacionalnom i lokalnom nivou koja se ogleda, između ostalog, u činjenici da opštine ne usvajaju planove koncesija, iako su na to obavezane Zakonom</w:t>
      </w:r>
      <w:r w:rsidR="00F26DEA" w:rsidRPr="00F26DEA">
        <w:rPr>
          <w:rFonts w:ascii="Arial" w:eastAsia="Times New Roman" w:hAnsi="Arial" w:cs="Arial"/>
          <w:sz w:val="22"/>
          <w:szCs w:val="22"/>
          <w:shd w:val="clear" w:color="auto" w:fill="FFFFFF"/>
        </w:rPr>
        <w:t>,</w:t>
      </w:r>
      <w:r w:rsidRPr="00F26DEA">
        <w:rPr>
          <w:rStyle w:val="FootnoteReference"/>
          <w:rFonts w:ascii="Arial" w:eastAsia="Times New Roman" w:hAnsi="Arial" w:cs="Arial"/>
          <w:sz w:val="22"/>
          <w:szCs w:val="22"/>
          <w:shd w:val="clear" w:color="auto" w:fill="FFFFFF"/>
        </w:rPr>
        <w:footnoteReference w:id="16"/>
      </w:r>
      <w:r w:rsidR="00F26DEA" w:rsidRPr="00F26DEA">
        <w:rPr>
          <w:rFonts w:ascii="Arial" w:eastAsia="Times New Roman" w:hAnsi="Arial" w:cs="Arial"/>
          <w:sz w:val="22"/>
          <w:szCs w:val="22"/>
          <w:shd w:val="clear" w:color="auto" w:fill="FFFFFF"/>
        </w:rPr>
        <w:t xml:space="preserve"> a </w:t>
      </w:r>
      <w:r w:rsidR="00F26DEA" w:rsidRPr="00F26DEA">
        <w:rPr>
          <w:rFonts w:ascii="Arial" w:hAnsi="Arial" w:cs="Arial"/>
          <w:sz w:val="22"/>
          <w:szCs w:val="22"/>
        </w:rPr>
        <w:t xml:space="preserve">opštine ne posjeduju ni informacije o vrsti koncesije na osnovu koje se vrši naplata na nivou države, odnosno dospijeća iz Državnog trezora. Samim tim, opštine nisu u mogućnosti ni da realno procjene prihode na godišnjem ili dugoročnom nivou. </w:t>
      </w:r>
    </w:p>
    <w:p w14:paraId="4384354F" w14:textId="20741109" w:rsidR="00F73CC4" w:rsidRPr="003E69A4" w:rsidRDefault="00F73CC4" w:rsidP="003E69A4">
      <w:pPr>
        <w:widowControl w:val="0"/>
        <w:tabs>
          <w:tab w:val="left" w:pos="220"/>
          <w:tab w:val="left" w:pos="720"/>
        </w:tabs>
        <w:autoSpaceDE w:val="0"/>
        <w:autoSpaceDN w:val="0"/>
        <w:adjustRightInd w:val="0"/>
        <w:spacing w:after="240"/>
        <w:jc w:val="both"/>
        <w:rPr>
          <w:rFonts w:ascii="Arial" w:eastAsia="Times New Roman" w:hAnsi="Arial" w:cs="Times New Roman"/>
          <w:sz w:val="22"/>
          <w:szCs w:val="22"/>
          <w:shd w:val="clear" w:color="auto" w:fill="FFFFFF"/>
        </w:rPr>
      </w:pPr>
      <w:r w:rsidRPr="00F73CC4">
        <w:rPr>
          <w:rFonts w:ascii="Arial" w:hAnsi="Arial" w:cs="Times"/>
          <w:b/>
          <w:sz w:val="22"/>
          <w:szCs w:val="22"/>
        </w:rPr>
        <w:t xml:space="preserve">                                                       </w:t>
      </w:r>
      <w:r w:rsidR="003E69A4">
        <w:rPr>
          <w:rFonts w:ascii="Arial" w:hAnsi="Arial" w:cs="Times"/>
          <w:b/>
          <w:sz w:val="22"/>
          <w:szCs w:val="22"/>
        </w:rPr>
        <w:t xml:space="preserve">                   </w:t>
      </w:r>
      <w:r w:rsidRPr="00F73CC4">
        <w:rPr>
          <w:rFonts w:ascii="Arial" w:hAnsi="Arial" w:cs="Times"/>
          <w:b/>
          <w:sz w:val="22"/>
          <w:szCs w:val="22"/>
        </w:rPr>
        <w:t xml:space="preserve"> Ukupni prihodi po osnovu koncesionih naknada</w:t>
      </w:r>
    </w:p>
    <w:tbl>
      <w:tblPr>
        <w:tblStyle w:val="LightShading"/>
        <w:tblpPr w:leftFromText="180" w:rightFromText="180" w:vertAnchor="text" w:tblpXSpec="right" w:tblpY="1"/>
        <w:tblOverlap w:val="never"/>
        <w:tblW w:w="0" w:type="auto"/>
        <w:jc w:val="right"/>
        <w:tblLook w:val="04A0" w:firstRow="1" w:lastRow="0" w:firstColumn="1" w:lastColumn="0" w:noHBand="0" w:noVBand="1"/>
      </w:tblPr>
      <w:tblGrid>
        <w:gridCol w:w="1963"/>
        <w:gridCol w:w="1963"/>
        <w:gridCol w:w="1963"/>
      </w:tblGrid>
      <w:tr w:rsidR="00D872D0" w:rsidRPr="00F73CC4" w14:paraId="1527A6D3" w14:textId="77777777" w:rsidTr="00D872D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63" w:type="dxa"/>
          </w:tcPr>
          <w:p w14:paraId="41FDF7FB" w14:textId="77777777" w:rsidR="00D872D0" w:rsidRPr="00F73CC4" w:rsidRDefault="00D872D0" w:rsidP="00D872D0">
            <w:pPr>
              <w:widowControl w:val="0"/>
              <w:autoSpaceDE w:val="0"/>
              <w:autoSpaceDN w:val="0"/>
              <w:adjustRightInd w:val="0"/>
              <w:jc w:val="center"/>
              <w:rPr>
                <w:rFonts w:ascii="Arial" w:hAnsi="Arial"/>
                <w:sz w:val="22"/>
                <w:szCs w:val="22"/>
              </w:rPr>
            </w:pPr>
            <w:r w:rsidRPr="00F73CC4">
              <w:rPr>
                <w:rFonts w:ascii="Arial" w:hAnsi="Arial"/>
                <w:sz w:val="22"/>
                <w:szCs w:val="22"/>
              </w:rPr>
              <w:t>2011.</w:t>
            </w:r>
          </w:p>
        </w:tc>
        <w:tc>
          <w:tcPr>
            <w:tcW w:w="1963" w:type="dxa"/>
          </w:tcPr>
          <w:p w14:paraId="5D28DD5B" w14:textId="77777777" w:rsidR="00D872D0" w:rsidRPr="00F73CC4" w:rsidRDefault="00D872D0" w:rsidP="00D872D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F73CC4">
              <w:rPr>
                <w:rFonts w:ascii="Arial" w:hAnsi="Arial"/>
                <w:sz w:val="22"/>
                <w:szCs w:val="22"/>
              </w:rPr>
              <w:t>2012.</w:t>
            </w:r>
          </w:p>
        </w:tc>
        <w:tc>
          <w:tcPr>
            <w:tcW w:w="1963" w:type="dxa"/>
          </w:tcPr>
          <w:p w14:paraId="471F41AF" w14:textId="03C0D663" w:rsidR="00D872D0" w:rsidRPr="00F73CC4" w:rsidRDefault="00D872D0" w:rsidP="00D872D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 xml:space="preserve">2013. </w:t>
            </w:r>
          </w:p>
        </w:tc>
      </w:tr>
      <w:tr w:rsidR="00D872D0" w:rsidRPr="00F73CC4" w14:paraId="7AFC63B7" w14:textId="77777777" w:rsidTr="00D872D0">
        <w:trPr>
          <w:cnfStyle w:val="000000100000" w:firstRow="0" w:lastRow="0" w:firstColumn="0" w:lastColumn="0" w:oddVBand="0" w:evenVBand="0" w:oddHBand="1" w:evenHBand="0" w:firstRowFirstColumn="0" w:firstRowLastColumn="0" w:lastRowFirstColumn="0" w:lastRowLastColumn="0"/>
          <w:trHeight w:val="124"/>
          <w:jc w:val="right"/>
        </w:trPr>
        <w:tc>
          <w:tcPr>
            <w:cnfStyle w:val="001000000000" w:firstRow="0" w:lastRow="0" w:firstColumn="1" w:lastColumn="0" w:oddVBand="0" w:evenVBand="0" w:oddHBand="0" w:evenHBand="0" w:firstRowFirstColumn="0" w:firstRowLastColumn="0" w:lastRowFirstColumn="0" w:lastRowLastColumn="0"/>
            <w:tcW w:w="1963" w:type="dxa"/>
          </w:tcPr>
          <w:p w14:paraId="2D37B4BC" w14:textId="77777777" w:rsidR="00D872D0" w:rsidRPr="00F73CC4" w:rsidRDefault="00D872D0" w:rsidP="00D872D0">
            <w:pPr>
              <w:widowControl w:val="0"/>
              <w:autoSpaceDE w:val="0"/>
              <w:autoSpaceDN w:val="0"/>
              <w:adjustRightInd w:val="0"/>
              <w:jc w:val="center"/>
              <w:rPr>
                <w:rFonts w:ascii="Arial" w:hAnsi="Arial" w:cs="Times"/>
                <w:b w:val="0"/>
                <w:sz w:val="22"/>
                <w:szCs w:val="22"/>
              </w:rPr>
            </w:pPr>
            <w:r w:rsidRPr="00F73CC4">
              <w:rPr>
                <w:rFonts w:ascii="Arial" w:hAnsi="Arial" w:cs="Times"/>
                <w:b w:val="0"/>
                <w:sz w:val="22"/>
                <w:szCs w:val="22"/>
              </w:rPr>
              <w:t>25.699.255,23 €</w:t>
            </w:r>
          </w:p>
        </w:tc>
        <w:tc>
          <w:tcPr>
            <w:tcW w:w="1963" w:type="dxa"/>
          </w:tcPr>
          <w:p w14:paraId="08C45DB1" w14:textId="77777777" w:rsidR="00D872D0" w:rsidRPr="00F73CC4" w:rsidRDefault="00D872D0" w:rsidP="00D872D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Times"/>
                <w:sz w:val="22"/>
                <w:szCs w:val="22"/>
              </w:rPr>
            </w:pPr>
            <w:r w:rsidRPr="00F73CC4">
              <w:rPr>
                <w:rFonts w:ascii="Arial" w:hAnsi="Arial" w:cs="Times"/>
                <w:sz w:val="22"/>
                <w:szCs w:val="22"/>
              </w:rPr>
              <w:t>12.706.115,31 €</w:t>
            </w:r>
          </w:p>
        </w:tc>
        <w:tc>
          <w:tcPr>
            <w:tcW w:w="1963" w:type="dxa"/>
          </w:tcPr>
          <w:p w14:paraId="080CC599" w14:textId="77777777" w:rsidR="00D872D0" w:rsidRPr="00D872D0" w:rsidRDefault="00D872D0" w:rsidP="00D872D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noProof w:val="0"/>
                <w:sz w:val="22"/>
                <w:szCs w:val="22"/>
                <w:lang w:val="en-US"/>
              </w:rPr>
            </w:pPr>
            <w:r w:rsidRPr="00D872D0">
              <w:rPr>
                <w:rFonts w:ascii="Arial" w:hAnsi="Arial" w:cs="Arial"/>
                <w:noProof w:val="0"/>
                <w:sz w:val="22"/>
                <w:szCs w:val="22"/>
                <w:lang w:val="en-US"/>
              </w:rPr>
              <w:t>13.233.490,18 €</w:t>
            </w:r>
          </w:p>
          <w:p w14:paraId="4D1D6018" w14:textId="085D925B" w:rsidR="00D872D0" w:rsidRPr="00F73CC4" w:rsidRDefault="00D872D0" w:rsidP="00D872D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Times"/>
                <w:sz w:val="22"/>
                <w:szCs w:val="22"/>
              </w:rPr>
            </w:pPr>
          </w:p>
        </w:tc>
      </w:tr>
    </w:tbl>
    <w:p w14:paraId="3F8A4C01" w14:textId="77777777" w:rsidR="00F73CC4" w:rsidRPr="00F73CC4" w:rsidRDefault="00F73CC4" w:rsidP="00747613">
      <w:pPr>
        <w:widowControl w:val="0"/>
        <w:autoSpaceDE w:val="0"/>
        <w:autoSpaceDN w:val="0"/>
        <w:adjustRightInd w:val="0"/>
        <w:spacing w:after="240" w:line="276" w:lineRule="auto"/>
        <w:jc w:val="both"/>
        <w:rPr>
          <w:rFonts w:ascii="Arial" w:hAnsi="Arial" w:cs="Arial"/>
          <w:i/>
          <w:sz w:val="22"/>
          <w:szCs w:val="22"/>
        </w:rPr>
      </w:pPr>
      <w:r w:rsidRPr="00F73CC4">
        <w:rPr>
          <w:rFonts w:ascii="Arial" w:hAnsi="Arial" w:cs="Arial"/>
          <w:sz w:val="22"/>
          <w:szCs w:val="22"/>
        </w:rPr>
        <w:t>Naplatu koncesionih naknada sprovodi Ministarstvo finansija, u saradnji s Poreskom upravom.  Nadležni državni organi dostavljaju Poreskoj upravi rješenja o utvrđenim koncesionim naknadama koja na osnovu njih vrši zaduženje koncesionara i naplatu koncesionih naknada, odnosno prati realizaciju naplata. Poreska uprava, u slučaju neizmirenja obaveza sprovodi mjere prinudne naplate.</w:t>
      </w:r>
      <w:r w:rsidRPr="00F73CC4">
        <w:rPr>
          <w:rStyle w:val="FootnoteReference"/>
          <w:rFonts w:ascii="Arial" w:hAnsi="Arial" w:cs="Arial"/>
          <w:sz w:val="22"/>
          <w:szCs w:val="22"/>
        </w:rPr>
        <w:footnoteReference w:id="17"/>
      </w:r>
      <w:r w:rsidRPr="00F73CC4">
        <w:rPr>
          <w:rFonts w:ascii="Arial" w:hAnsi="Arial" w:cs="Arial"/>
          <w:sz w:val="22"/>
          <w:szCs w:val="22"/>
        </w:rPr>
        <w:t xml:space="preserve"> Međutim, ovakav sistem naplate koncesionih naknada pokazao je niz problema u praksi. </w:t>
      </w:r>
    </w:p>
    <w:p w14:paraId="3792AB30" w14:textId="77777777" w:rsidR="00F73CC4" w:rsidRPr="00F73CC4" w:rsidRDefault="00F73CC4" w:rsidP="00747613">
      <w:pPr>
        <w:widowControl w:val="0"/>
        <w:autoSpaceDE w:val="0"/>
        <w:autoSpaceDN w:val="0"/>
        <w:adjustRightInd w:val="0"/>
        <w:spacing w:after="240" w:line="276" w:lineRule="auto"/>
        <w:jc w:val="both"/>
        <w:rPr>
          <w:rFonts w:ascii="Arial" w:hAnsi="Arial" w:cs="Times"/>
          <w:sz w:val="22"/>
          <w:szCs w:val="22"/>
        </w:rPr>
      </w:pPr>
      <w:r w:rsidRPr="00F73CC4">
        <w:rPr>
          <w:rFonts w:ascii="Arial" w:hAnsi="Arial" w:cs="Times"/>
          <w:sz w:val="22"/>
          <w:szCs w:val="22"/>
        </w:rPr>
        <w:t xml:space="preserve">Dugovanja na ime neizmirenih obaveza koncesionara se povećavaju iz godine u godinu. Tako su ova dugovanja zaključno s decembrom 2012. godine iznosila 12. 249. 306, 44 eura, u odnosu na april 2011. kada je ovaj dug bio u visini od 8. 154. 721, 94 eura. </w:t>
      </w:r>
    </w:p>
    <w:p w14:paraId="10BE2EB3" w14:textId="77777777" w:rsidR="00F73CC4" w:rsidRPr="00F73CC4" w:rsidRDefault="00F73CC4" w:rsidP="00747613">
      <w:pPr>
        <w:widowControl w:val="0"/>
        <w:autoSpaceDE w:val="0"/>
        <w:autoSpaceDN w:val="0"/>
        <w:adjustRightInd w:val="0"/>
        <w:spacing w:after="240" w:line="276" w:lineRule="auto"/>
        <w:jc w:val="both"/>
        <w:rPr>
          <w:rFonts w:ascii="Arial" w:hAnsi="Arial" w:cs="Times"/>
          <w:sz w:val="22"/>
          <w:szCs w:val="22"/>
        </w:rPr>
      </w:pPr>
      <w:r w:rsidRPr="00F73CC4">
        <w:rPr>
          <w:rFonts w:ascii="Arial" w:hAnsi="Arial" w:cs="Cambria"/>
          <w:sz w:val="22"/>
          <w:szCs w:val="22"/>
        </w:rPr>
        <w:t xml:space="preserve">Posebno ograničenje kada je sistem kontrole nad sprovođenjem ugovora o dodijeljenim koncesijama, kao i naplate koncesionih naknada predstavlja inspekcijski nadzor. Ovaj problem postoji što zbog manjka kadra u Upravi za inspekcijske poslove za sve oblasti, ali i zbog nekompletnih inspekcijskih kontrola. </w:t>
      </w:r>
    </w:p>
    <w:p w14:paraId="6B124FD5" w14:textId="77777777" w:rsidR="00F73CC4" w:rsidRPr="00F73CC4" w:rsidRDefault="00F73CC4" w:rsidP="00F73CC4">
      <w:pPr>
        <w:widowControl w:val="0"/>
        <w:autoSpaceDE w:val="0"/>
        <w:autoSpaceDN w:val="0"/>
        <w:adjustRightInd w:val="0"/>
        <w:spacing w:after="240"/>
        <w:jc w:val="both"/>
        <w:rPr>
          <w:rFonts w:ascii="Arial" w:hAnsi="Arial" w:cs="Times"/>
          <w:sz w:val="22"/>
          <w:szCs w:val="22"/>
        </w:rPr>
      </w:pPr>
      <w:r w:rsidRPr="00F73CC4">
        <w:rPr>
          <w:rFonts w:ascii="Arial" w:hAnsi="Arial" w:cs="Tahoma"/>
          <w:b/>
          <w:sz w:val="22"/>
          <w:szCs w:val="22"/>
        </w:rPr>
        <w:t>Inspekcijski pregledi u 2013.</w:t>
      </w:r>
      <w:r w:rsidRPr="00F73CC4">
        <w:rPr>
          <w:rStyle w:val="FootnoteReference"/>
          <w:rFonts w:ascii="Arial" w:hAnsi="Arial" w:cs="Tahoma"/>
          <w:b/>
          <w:sz w:val="22"/>
          <w:szCs w:val="22"/>
        </w:rPr>
        <w:footnoteReference w:id="18"/>
      </w:r>
    </w:p>
    <w:tbl>
      <w:tblPr>
        <w:tblStyle w:val="LightShading"/>
        <w:tblW w:w="9889" w:type="dxa"/>
        <w:tblLook w:val="04A0" w:firstRow="1" w:lastRow="0" w:firstColumn="1" w:lastColumn="0" w:noHBand="0" w:noVBand="1"/>
      </w:tblPr>
      <w:tblGrid>
        <w:gridCol w:w="3296"/>
        <w:gridCol w:w="3296"/>
        <w:gridCol w:w="3297"/>
      </w:tblGrid>
      <w:tr w:rsidR="00F73CC4" w:rsidRPr="00F73CC4" w14:paraId="7748A836" w14:textId="77777777" w:rsidTr="003E6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6" w:type="dxa"/>
          </w:tcPr>
          <w:p w14:paraId="388D912B" w14:textId="77777777" w:rsidR="00F73CC4" w:rsidRPr="00D54929" w:rsidRDefault="00F73CC4" w:rsidP="00D872D0">
            <w:pPr>
              <w:widowControl w:val="0"/>
              <w:autoSpaceDE w:val="0"/>
              <w:autoSpaceDN w:val="0"/>
              <w:adjustRightInd w:val="0"/>
              <w:jc w:val="center"/>
              <w:rPr>
                <w:rFonts w:ascii="Arial" w:hAnsi="Arial" w:cs="Times"/>
                <w:b w:val="0"/>
                <w:sz w:val="18"/>
                <w:szCs w:val="18"/>
              </w:rPr>
            </w:pPr>
            <w:r w:rsidRPr="00D54929">
              <w:rPr>
                <w:rFonts w:ascii="Arial" w:hAnsi="Arial" w:cs="Times"/>
                <w:sz w:val="18"/>
                <w:szCs w:val="18"/>
              </w:rPr>
              <w:t xml:space="preserve">Subjekt inspekcijskog nadzora </w:t>
            </w:r>
          </w:p>
        </w:tc>
        <w:tc>
          <w:tcPr>
            <w:tcW w:w="3296" w:type="dxa"/>
          </w:tcPr>
          <w:p w14:paraId="2A0702F4" w14:textId="77777777" w:rsidR="00F73CC4" w:rsidRPr="00D54929" w:rsidRDefault="00F73CC4" w:rsidP="00D872D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Times"/>
                <w:b w:val="0"/>
                <w:sz w:val="18"/>
                <w:szCs w:val="18"/>
              </w:rPr>
            </w:pPr>
            <w:r w:rsidRPr="00D54929">
              <w:rPr>
                <w:rFonts w:ascii="Arial" w:hAnsi="Arial" w:cs="Times"/>
                <w:sz w:val="18"/>
                <w:szCs w:val="18"/>
              </w:rPr>
              <w:t xml:space="preserve">Odsjek u Upravi za inspekcijske poslove </w:t>
            </w:r>
          </w:p>
        </w:tc>
        <w:tc>
          <w:tcPr>
            <w:tcW w:w="3297" w:type="dxa"/>
          </w:tcPr>
          <w:p w14:paraId="6A09066E" w14:textId="77777777" w:rsidR="00F73CC4" w:rsidRPr="00D54929" w:rsidRDefault="00F73CC4" w:rsidP="00D872D0">
            <w:pPr>
              <w:widowControl w:val="0"/>
              <w:tabs>
                <w:tab w:val="left" w:pos="220"/>
                <w:tab w:val="left" w:pos="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Times"/>
                <w:b w:val="0"/>
                <w:sz w:val="18"/>
                <w:szCs w:val="18"/>
              </w:rPr>
            </w:pPr>
            <w:r w:rsidRPr="00D54929">
              <w:rPr>
                <w:rFonts w:ascii="Arial" w:hAnsi="Arial" w:cs="Times"/>
                <w:sz w:val="18"/>
                <w:szCs w:val="18"/>
              </w:rPr>
              <w:t>Broj pregleda</w:t>
            </w:r>
          </w:p>
        </w:tc>
      </w:tr>
      <w:tr w:rsidR="00F73CC4" w:rsidRPr="00F73CC4" w14:paraId="5D084164" w14:textId="77777777" w:rsidTr="003E6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6" w:type="dxa"/>
          </w:tcPr>
          <w:p w14:paraId="396A224B" w14:textId="77777777" w:rsidR="00F73CC4" w:rsidRPr="00D54929" w:rsidRDefault="00F73CC4" w:rsidP="00D872D0">
            <w:pPr>
              <w:widowControl w:val="0"/>
              <w:autoSpaceDE w:val="0"/>
              <w:autoSpaceDN w:val="0"/>
              <w:adjustRightInd w:val="0"/>
              <w:jc w:val="center"/>
              <w:rPr>
                <w:rFonts w:ascii="Arial" w:hAnsi="Arial" w:cs="Arial"/>
                <w:b w:val="0"/>
                <w:sz w:val="18"/>
                <w:szCs w:val="18"/>
              </w:rPr>
            </w:pPr>
            <w:r w:rsidRPr="00D54929">
              <w:rPr>
                <w:rFonts w:ascii="Arial" w:hAnsi="Arial" w:cs="Arial"/>
                <w:b w:val="0"/>
                <w:sz w:val="18"/>
                <w:szCs w:val="18"/>
              </w:rPr>
              <w:t>Koncesionari koji su korisnici šuma</w:t>
            </w:r>
          </w:p>
        </w:tc>
        <w:tc>
          <w:tcPr>
            <w:tcW w:w="3296" w:type="dxa"/>
          </w:tcPr>
          <w:p w14:paraId="37B268B2" w14:textId="77777777" w:rsidR="00F73CC4" w:rsidRPr="00D54929" w:rsidRDefault="00F73CC4" w:rsidP="00D872D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Times"/>
                <w:sz w:val="18"/>
                <w:szCs w:val="18"/>
              </w:rPr>
            </w:pPr>
            <w:r w:rsidRPr="00D54929">
              <w:rPr>
                <w:rFonts w:ascii="Arial" w:hAnsi="Arial" w:cs="Times"/>
                <w:sz w:val="18"/>
                <w:szCs w:val="18"/>
              </w:rPr>
              <w:t>Odsjek za inspekciju šumarstva, lovstva i zaštite bilja</w:t>
            </w:r>
          </w:p>
        </w:tc>
        <w:tc>
          <w:tcPr>
            <w:tcW w:w="3297" w:type="dxa"/>
          </w:tcPr>
          <w:p w14:paraId="52673926" w14:textId="77777777" w:rsidR="00F73CC4" w:rsidRPr="00D54929" w:rsidRDefault="00F73CC4" w:rsidP="00D872D0">
            <w:pPr>
              <w:widowControl w:val="0"/>
              <w:tabs>
                <w:tab w:val="left" w:pos="220"/>
                <w:tab w:val="left" w:pos="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Times"/>
                <w:sz w:val="18"/>
                <w:szCs w:val="18"/>
              </w:rPr>
            </w:pPr>
            <w:r w:rsidRPr="00D54929">
              <w:rPr>
                <w:rFonts w:ascii="Arial" w:hAnsi="Arial" w:cs="Times"/>
                <w:sz w:val="18"/>
                <w:szCs w:val="18"/>
              </w:rPr>
              <w:t>234</w:t>
            </w:r>
          </w:p>
        </w:tc>
      </w:tr>
      <w:tr w:rsidR="00F73CC4" w:rsidRPr="00F73CC4" w14:paraId="077BE219" w14:textId="77777777" w:rsidTr="003E69A4">
        <w:trPr>
          <w:trHeight w:val="90"/>
        </w:trPr>
        <w:tc>
          <w:tcPr>
            <w:cnfStyle w:val="001000000000" w:firstRow="0" w:lastRow="0" w:firstColumn="1" w:lastColumn="0" w:oddVBand="0" w:evenVBand="0" w:oddHBand="0" w:evenHBand="0" w:firstRowFirstColumn="0" w:firstRowLastColumn="0" w:lastRowFirstColumn="0" w:lastRowLastColumn="0"/>
            <w:tcW w:w="3296" w:type="dxa"/>
          </w:tcPr>
          <w:p w14:paraId="20C18A52" w14:textId="77777777" w:rsidR="00F73CC4" w:rsidRPr="00D54929" w:rsidRDefault="00F73CC4" w:rsidP="00D872D0">
            <w:pPr>
              <w:widowControl w:val="0"/>
              <w:autoSpaceDE w:val="0"/>
              <w:autoSpaceDN w:val="0"/>
              <w:adjustRightInd w:val="0"/>
              <w:jc w:val="center"/>
              <w:rPr>
                <w:rFonts w:ascii="Arial" w:hAnsi="Arial" w:cs="Times"/>
                <w:b w:val="0"/>
                <w:sz w:val="18"/>
                <w:szCs w:val="18"/>
              </w:rPr>
            </w:pPr>
            <w:r w:rsidRPr="00D54929">
              <w:rPr>
                <w:rFonts w:ascii="Arial" w:hAnsi="Arial" w:cs="Arial"/>
                <w:b w:val="0"/>
                <w:sz w:val="18"/>
                <w:szCs w:val="18"/>
              </w:rPr>
              <w:t>Koncesionari koji su sa Vladom Crne Gore zaključili ugovore o pravu na istraživanje i eksploataciju mineralnih sirovina</w:t>
            </w:r>
          </w:p>
        </w:tc>
        <w:tc>
          <w:tcPr>
            <w:tcW w:w="3296" w:type="dxa"/>
          </w:tcPr>
          <w:p w14:paraId="3BE44255" w14:textId="77777777" w:rsidR="00F73CC4" w:rsidRPr="00D54929" w:rsidRDefault="00F73CC4" w:rsidP="00D872D0">
            <w:pPr>
              <w:widowControl w:val="0"/>
              <w:tabs>
                <w:tab w:val="left" w:pos="220"/>
                <w:tab w:val="left" w:pos="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Times"/>
                <w:sz w:val="18"/>
                <w:szCs w:val="18"/>
              </w:rPr>
            </w:pPr>
            <w:r w:rsidRPr="00D54929">
              <w:rPr>
                <w:rFonts w:ascii="Arial" w:hAnsi="Arial" w:cs="Times"/>
                <w:sz w:val="18"/>
                <w:szCs w:val="18"/>
              </w:rPr>
              <w:t>Geološka inspekcija</w:t>
            </w:r>
          </w:p>
        </w:tc>
        <w:tc>
          <w:tcPr>
            <w:tcW w:w="3297" w:type="dxa"/>
          </w:tcPr>
          <w:p w14:paraId="3ED188DA" w14:textId="77777777" w:rsidR="00F73CC4" w:rsidRPr="00D54929" w:rsidRDefault="00F73CC4" w:rsidP="00D872D0">
            <w:pPr>
              <w:widowControl w:val="0"/>
              <w:tabs>
                <w:tab w:val="left" w:pos="220"/>
                <w:tab w:val="left" w:pos="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Times"/>
                <w:sz w:val="18"/>
                <w:szCs w:val="18"/>
              </w:rPr>
            </w:pPr>
            <w:r w:rsidRPr="00D54929">
              <w:rPr>
                <w:rFonts w:ascii="Arial" w:hAnsi="Arial" w:cs="Times"/>
                <w:sz w:val="18"/>
                <w:szCs w:val="18"/>
              </w:rPr>
              <w:t>29</w:t>
            </w:r>
          </w:p>
        </w:tc>
      </w:tr>
    </w:tbl>
    <w:p w14:paraId="51C62D6F" w14:textId="77777777" w:rsidR="00747613" w:rsidRDefault="00747613" w:rsidP="00747613">
      <w:pPr>
        <w:widowControl w:val="0"/>
        <w:tabs>
          <w:tab w:val="left" w:pos="220"/>
          <w:tab w:val="left" w:pos="720"/>
        </w:tabs>
        <w:autoSpaceDE w:val="0"/>
        <w:autoSpaceDN w:val="0"/>
        <w:adjustRightInd w:val="0"/>
        <w:jc w:val="both"/>
        <w:rPr>
          <w:rFonts w:ascii="Arial" w:hAnsi="Arial" w:cs="Tahoma"/>
          <w:i/>
          <w:color w:val="365F91" w:themeColor="accent1" w:themeShade="BF"/>
          <w:sz w:val="22"/>
          <w:szCs w:val="22"/>
        </w:rPr>
      </w:pPr>
    </w:p>
    <w:p w14:paraId="52000694" w14:textId="77777777" w:rsidR="00D54929" w:rsidRDefault="00D54929" w:rsidP="00F73CC4">
      <w:pPr>
        <w:widowControl w:val="0"/>
        <w:tabs>
          <w:tab w:val="left" w:pos="220"/>
          <w:tab w:val="left" w:pos="720"/>
        </w:tabs>
        <w:autoSpaceDE w:val="0"/>
        <w:autoSpaceDN w:val="0"/>
        <w:adjustRightInd w:val="0"/>
        <w:spacing w:after="240"/>
        <w:jc w:val="both"/>
        <w:rPr>
          <w:rFonts w:ascii="Arial" w:hAnsi="Arial" w:cs="Tahoma"/>
          <w:i/>
          <w:color w:val="365F91" w:themeColor="accent1" w:themeShade="BF"/>
          <w:sz w:val="22"/>
          <w:szCs w:val="22"/>
        </w:rPr>
      </w:pPr>
    </w:p>
    <w:p w14:paraId="56AFE9E7" w14:textId="77777777" w:rsidR="00F73CC4" w:rsidRPr="00F73CC4" w:rsidRDefault="00F73CC4" w:rsidP="00F73CC4">
      <w:pPr>
        <w:widowControl w:val="0"/>
        <w:tabs>
          <w:tab w:val="left" w:pos="220"/>
          <w:tab w:val="left" w:pos="720"/>
        </w:tabs>
        <w:autoSpaceDE w:val="0"/>
        <w:autoSpaceDN w:val="0"/>
        <w:adjustRightInd w:val="0"/>
        <w:spacing w:after="240"/>
        <w:jc w:val="both"/>
        <w:rPr>
          <w:rFonts w:ascii="Arial" w:hAnsi="Arial" w:cs="Tahoma"/>
          <w:i/>
          <w:color w:val="365F91" w:themeColor="accent1" w:themeShade="BF"/>
          <w:sz w:val="22"/>
          <w:szCs w:val="22"/>
        </w:rPr>
      </w:pPr>
      <w:r w:rsidRPr="00F73CC4">
        <w:rPr>
          <w:rFonts w:ascii="Arial" w:hAnsi="Arial" w:cs="Tahoma"/>
          <w:i/>
          <w:color w:val="365F91" w:themeColor="accent1" w:themeShade="BF"/>
          <w:sz w:val="22"/>
          <w:szCs w:val="22"/>
        </w:rPr>
        <w:t xml:space="preserve">Nedovoljna transparentnost </w:t>
      </w:r>
    </w:p>
    <w:tbl>
      <w:tblPr>
        <w:tblStyle w:val="TableGrid"/>
        <w:tblW w:w="9639" w:type="dxa"/>
        <w:tblInd w:w="108" w:type="dxa"/>
        <w:tblBorders>
          <w:insideH w:val="none" w:sz="0" w:space="0" w:color="auto"/>
          <w:insideV w:val="none" w:sz="0" w:space="0" w:color="auto"/>
        </w:tblBorders>
        <w:shd w:val="clear" w:color="auto" w:fill="B3B3B3"/>
        <w:tblLook w:val="04A0" w:firstRow="1" w:lastRow="0" w:firstColumn="1" w:lastColumn="0" w:noHBand="0" w:noVBand="1"/>
      </w:tblPr>
      <w:tblGrid>
        <w:gridCol w:w="9639"/>
      </w:tblGrid>
      <w:tr w:rsidR="00F73CC4" w:rsidRPr="00F73CC4" w14:paraId="67F4D9FF" w14:textId="77777777" w:rsidTr="003E69A4">
        <w:tc>
          <w:tcPr>
            <w:tcW w:w="9639" w:type="dxa"/>
            <w:shd w:val="clear" w:color="auto" w:fill="B3B3B3"/>
          </w:tcPr>
          <w:p w14:paraId="35AD272C" w14:textId="77777777" w:rsidR="00F73CC4" w:rsidRPr="00F73CC4" w:rsidRDefault="00F73CC4" w:rsidP="00D872D0">
            <w:pPr>
              <w:widowControl w:val="0"/>
              <w:tabs>
                <w:tab w:val="left" w:pos="220"/>
                <w:tab w:val="left" w:pos="720"/>
              </w:tabs>
              <w:autoSpaceDE w:val="0"/>
              <w:autoSpaceDN w:val="0"/>
              <w:adjustRightInd w:val="0"/>
              <w:jc w:val="both"/>
              <w:rPr>
                <w:rFonts w:ascii="Arial" w:hAnsi="Arial" w:cs="Tahoma"/>
                <w:sz w:val="22"/>
                <w:szCs w:val="22"/>
              </w:rPr>
            </w:pPr>
          </w:p>
          <w:p w14:paraId="4EC49E2C" w14:textId="77777777" w:rsidR="00F73CC4" w:rsidRPr="00747613" w:rsidRDefault="00F73CC4" w:rsidP="00D872D0">
            <w:pPr>
              <w:widowControl w:val="0"/>
              <w:tabs>
                <w:tab w:val="left" w:pos="220"/>
                <w:tab w:val="left" w:pos="720"/>
              </w:tabs>
              <w:autoSpaceDE w:val="0"/>
              <w:autoSpaceDN w:val="0"/>
              <w:adjustRightInd w:val="0"/>
              <w:spacing w:after="240"/>
              <w:jc w:val="both"/>
              <w:rPr>
                <w:rFonts w:ascii="Arial" w:hAnsi="Arial" w:cs="Tahoma"/>
                <w:i/>
                <w:sz w:val="22"/>
                <w:szCs w:val="22"/>
              </w:rPr>
            </w:pPr>
            <w:r w:rsidRPr="00747613">
              <w:rPr>
                <w:rFonts w:ascii="Arial" w:hAnsi="Arial" w:cs="Tahoma"/>
                <w:i/>
                <w:sz w:val="22"/>
                <w:szCs w:val="22"/>
              </w:rPr>
              <w:t>Potrebno je unaprijediti transparentnost, posebno u pogledu ažuriranja registra o koncesijama i objavljivanja koncesionih ugovora i plaćanja.</w:t>
            </w:r>
            <w:r w:rsidRPr="00747613">
              <w:rPr>
                <w:rStyle w:val="FootnoteReference"/>
                <w:rFonts w:ascii="Arial" w:hAnsi="Arial" w:cs="Tahoma"/>
                <w:i/>
                <w:sz w:val="22"/>
                <w:szCs w:val="22"/>
              </w:rPr>
              <w:footnoteReference w:id="19"/>
            </w:r>
          </w:p>
        </w:tc>
      </w:tr>
    </w:tbl>
    <w:p w14:paraId="375BE793" w14:textId="77777777" w:rsidR="00F73CC4" w:rsidRPr="00F73CC4" w:rsidRDefault="00F73CC4" w:rsidP="00F73CC4">
      <w:pPr>
        <w:jc w:val="both"/>
        <w:rPr>
          <w:rFonts w:ascii="Arial" w:hAnsi="Arial" w:cs="Tahoma"/>
          <w:i/>
          <w:sz w:val="22"/>
          <w:szCs w:val="22"/>
        </w:rPr>
      </w:pPr>
    </w:p>
    <w:p w14:paraId="5BCFC75F" w14:textId="5C95442B" w:rsidR="00F73CC4" w:rsidRPr="00F73CC4" w:rsidRDefault="00F73CC4" w:rsidP="00747613">
      <w:pPr>
        <w:spacing w:line="276" w:lineRule="auto"/>
        <w:jc w:val="both"/>
        <w:rPr>
          <w:rFonts w:ascii="Arial" w:eastAsia="Times New Roman" w:hAnsi="Arial" w:cs="Times New Roman"/>
          <w:noProof w:val="0"/>
          <w:sz w:val="22"/>
          <w:szCs w:val="22"/>
        </w:rPr>
      </w:pPr>
      <w:r w:rsidRPr="00F73CC4">
        <w:rPr>
          <w:rFonts w:ascii="Arial" w:eastAsia="Times New Roman" w:hAnsi="Arial" w:cs="Times New Roman"/>
          <w:noProof w:val="0"/>
          <w:sz w:val="22"/>
          <w:szCs w:val="22"/>
          <w:shd w:val="clear" w:color="auto" w:fill="FFFFFF"/>
        </w:rPr>
        <w:t>Manjak transparentnosti, kada su koncesije u pitanju, velikim dijelom je uslovljen nepotpunim centralnim registrom koncesija, budući da registar koji uređuje i ažurira Komisija za koncesije ne sadrži planove otplata koncesija, kao ni kompletne ugovore o dodijeljenim koncesijama</w:t>
      </w:r>
      <w:r w:rsidR="007F437F">
        <w:rPr>
          <w:rFonts w:ascii="Arial" w:eastAsia="Times New Roman" w:hAnsi="Arial" w:cs="Times New Roman"/>
          <w:noProof w:val="0"/>
          <w:sz w:val="22"/>
          <w:szCs w:val="22"/>
          <w:shd w:val="clear" w:color="auto" w:fill="FFFFFF"/>
        </w:rPr>
        <w:t>.</w:t>
      </w:r>
    </w:p>
    <w:p w14:paraId="4D20609A" w14:textId="77777777" w:rsidR="00F73CC4" w:rsidRPr="00F73CC4" w:rsidRDefault="00F73CC4" w:rsidP="00F73CC4">
      <w:pPr>
        <w:jc w:val="both"/>
        <w:rPr>
          <w:rFonts w:ascii="Arial" w:eastAsia="Times New Roman" w:hAnsi="Arial" w:cs="Times New Roman"/>
          <w:noProof w:val="0"/>
          <w:sz w:val="22"/>
          <w:szCs w:val="22"/>
        </w:rPr>
      </w:pPr>
    </w:p>
    <w:p w14:paraId="6E26CCA8" w14:textId="77777777" w:rsidR="00F73CC4" w:rsidRPr="00F73CC4" w:rsidRDefault="00F73CC4" w:rsidP="00F73CC4">
      <w:pPr>
        <w:widowControl w:val="0"/>
        <w:tabs>
          <w:tab w:val="left" w:pos="220"/>
          <w:tab w:val="left" w:pos="720"/>
        </w:tabs>
        <w:autoSpaceDE w:val="0"/>
        <w:autoSpaceDN w:val="0"/>
        <w:adjustRightInd w:val="0"/>
        <w:spacing w:after="240"/>
        <w:jc w:val="both"/>
        <w:rPr>
          <w:rFonts w:ascii="Arial" w:hAnsi="Arial" w:cs="Tahoma"/>
          <w:b/>
          <w:sz w:val="22"/>
          <w:szCs w:val="22"/>
        </w:rPr>
      </w:pPr>
      <w:r w:rsidRPr="00F73CC4">
        <w:rPr>
          <w:rFonts w:ascii="Arial" w:hAnsi="Arial" w:cs="Tahoma"/>
          <w:b/>
          <w:sz w:val="22"/>
          <w:szCs w:val="22"/>
        </w:rPr>
        <w:t xml:space="preserve">Sadržaj registra koncesija u Crnoj Gori </w:t>
      </w:r>
    </w:p>
    <w:tbl>
      <w:tblPr>
        <w:tblStyle w:val="TableGrid"/>
        <w:tblW w:w="0" w:type="auto"/>
        <w:tblInd w:w="108" w:type="dxa"/>
        <w:tblLayout w:type="fixed"/>
        <w:tblLook w:val="04A0" w:firstRow="1" w:lastRow="0" w:firstColumn="1" w:lastColumn="0" w:noHBand="0" w:noVBand="1"/>
      </w:tblPr>
      <w:tblGrid>
        <w:gridCol w:w="1377"/>
        <w:gridCol w:w="1377"/>
        <w:gridCol w:w="1377"/>
        <w:gridCol w:w="1377"/>
        <w:gridCol w:w="1377"/>
        <w:gridCol w:w="1377"/>
        <w:gridCol w:w="1377"/>
      </w:tblGrid>
      <w:tr w:rsidR="00F73CC4" w:rsidRPr="00F73CC4" w14:paraId="00BFAC72" w14:textId="77777777" w:rsidTr="003E69A4">
        <w:tc>
          <w:tcPr>
            <w:tcW w:w="1377" w:type="dxa"/>
          </w:tcPr>
          <w:p w14:paraId="61864BA1"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Datum</w:t>
            </w:r>
          </w:p>
          <w:p w14:paraId="78105067"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upisa</w:t>
            </w:r>
          </w:p>
        </w:tc>
        <w:tc>
          <w:tcPr>
            <w:tcW w:w="1377" w:type="dxa"/>
          </w:tcPr>
          <w:p w14:paraId="24E9755B"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Naziv</w:t>
            </w:r>
          </w:p>
          <w:p w14:paraId="2B47FA4D"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koncesionara</w:t>
            </w:r>
          </w:p>
        </w:tc>
        <w:tc>
          <w:tcPr>
            <w:tcW w:w="1377" w:type="dxa"/>
          </w:tcPr>
          <w:p w14:paraId="035A3870"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Naziv koncedenta</w:t>
            </w:r>
          </w:p>
        </w:tc>
        <w:tc>
          <w:tcPr>
            <w:tcW w:w="1377" w:type="dxa"/>
          </w:tcPr>
          <w:p w14:paraId="3733D9B5"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Predmet koncesije</w:t>
            </w:r>
          </w:p>
        </w:tc>
        <w:tc>
          <w:tcPr>
            <w:tcW w:w="1377" w:type="dxa"/>
          </w:tcPr>
          <w:p w14:paraId="5B33D75C"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Datum i broj zaključenja ugovora o koncesiji</w:t>
            </w:r>
          </w:p>
        </w:tc>
        <w:tc>
          <w:tcPr>
            <w:tcW w:w="1377" w:type="dxa"/>
          </w:tcPr>
          <w:p w14:paraId="6ED9BFC2"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Vrijeme trajanja ugovora o koncesiji</w:t>
            </w:r>
          </w:p>
        </w:tc>
        <w:tc>
          <w:tcPr>
            <w:tcW w:w="1377" w:type="dxa"/>
          </w:tcPr>
          <w:p w14:paraId="329E5F6D" w14:textId="77777777" w:rsidR="00F73CC4" w:rsidRPr="003E69A4" w:rsidRDefault="00F73CC4" w:rsidP="00D872D0">
            <w:pPr>
              <w:widowControl w:val="0"/>
              <w:tabs>
                <w:tab w:val="left" w:pos="220"/>
                <w:tab w:val="left" w:pos="720"/>
              </w:tabs>
              <w:autoSpaceDE w:val="0"/>
              <w:autoSpaceDN w:val="0"/>
              <w:adjustRightInd w:val="0"/>
              <w:jc w:val="center"/>
              <w:rPr>
                <w:rFonts w:ascii="Arial" w:hAnsi="Arial" w:cs="Tahoma"/>
                <w:b/>
                <w:sz w:val="18"/>
                <w:szCs w:val="18"/>
              </w:rPr>
            </w:pPr>
            <w:r w:rsidRPr="003E69A4">
              <w:rPr>
                <w:rFonts w:ascii="Arial" w:hAnsi="Arial" w:cs="Tahoma"/>
                <w:b/>
                <w:sz w:val="18"/>
                <w:szCs w:val="18"/>
              </w:rPr>
              <w:t>Napomena</w:t>
            </w:r>
          </w:p>
        </w:tc>
      </w:tr>
    </w:tbl>
    <w:p w14:paraId="54474EB4" w14:textId="77777777" w:rsidR="00F73CC4" w:rsidRPr="00F73CC4" w:rsidRDefault="00F73CC4" w:rsidP="00F73CC4">
      <w:pPr>
        <w:widowControl w:val="0"/>
        <w:tabs>
          <w:tab w:val="left" w:pos="220"/>
          <w:tab w:val="left" w:pos="720"/>
        </w:tabs>
        <w:autoSpaceDE w:val="0"/>
        <w:autoSpaceDN w:val="0"/>
        <w:adjustRightInd w:val="0"/>
        <w:jc w:val="both"/>
        <w:rPr>
          <w:rFonts w:ascii="Arial" w:hAnsi="Arial" w:cs="Tahoma"/>
          <w:sz w:val="22"/>
          <w:szCs w:val="22"/>
        </w:rPr>
      </w:pPr>
    </w:p>
    <w:p w14:paraId="4EA33F8F" w14:textId="4F2B4B1E" w:rsidR="00F73CC4" w:rsidRPr="00F73CC4" w:rsidRDefault="00F73CC4" w:rsidP="00747613">
      <w:pPr>
        <w:widowControl w:val="0"/>
        <w:tabs>
          <w:tab w:val="left" w:pos="220"/>
          <w:tab w:val="left" w:pos="720"/>
        </w:tabs>
        <w:autoSpaceDE w:val="0"/>
        <w:autoSpaceDN w:val="0"/>
        <w:adjustRightInd w:val="0"/>
        <w:spacing w:line="276" w:lineRule="auto"/>
        <w:jc w:val="both"/>
        <w:rPr>
          <w:rFonts w:ascii="Arial" w:hAnsi="Arial" w:cs="Tahoma"/>
          <w:sz w:val="22"/>
          <w:szCs w:val="22"/>
        </w:rPr>
      </w:pPr>
      <w:r w:rsidRPr="00F73CC4">
        <w:rPr>
          <w:rFonts w:ascii="Arial" w:hAnsi="Arial" w:cs="Tahoma"/>
          <w:sz w:val="22"/>
          <w:szCs w:val="22"/>
        </w:rPr>
        <w:t xml:space="preserve">Sadržaj registra koncesija u Crnoj Gori sadrži predmet i vrijeme trajanja dodijeljene koncesije, kao i imena koncesionara i koncedenta. </w:t>
      </w:r>
      <w:r w:rsidR="00A559B9" w:rsidRPr="000A4607">
        <w:rPr>
          <w:rFonts w:ascii="Arial" w:hAnsi="Arial" w:cs="Arial"/>
          <w:sz w:val="22"/>
          <w:szCs w:val="22"/>
          <w:lang w:val="en-GB"/>
        </w:rPr>
        <w:t xml:space="preserve">Jedinstvena baza ugovora zaključenih po modelu javno-privatnog partnerstva nije uspostavljena. </w:t>
      </w:r>
      <w:r w:rsidRPr="00F73CC4">
        <w:rPr>
          <w:rFonts w:ascii="Arial" w:hAnsi="Arial" w:cs="Tahoma"/>
          <w:sz w:val="22"/>
          <w:szCs w:val="22"/>
        </w:rPr>
        <w:t xml:space="preserve">Nasuprot tome, primjeri iz regiona pokazuju koje sve informacije bi trebalo da sadrži ovaj registar. </w:t>
      </w:r>
    </w:p>
    <w:p w14:paraId="67CA3307" w14:textId="77777777" w:rsidR="00F73CC4" w:rsidRPr="00F73CC4" w:rsidRDefault="00F73CC4" w:rsidP="00F73CC4">
      <w:pPr>
        <w:widowControl w:val="0"/>
        <w:tabs>
          <w:tab w:val="left" w:pos="220"/>
          <w:tab w:val="left" w:pos="720"/>
        </w:tabs>
        <w:autoSpaceDE w:val="0"/>
        <w:autoSpaceDN w:val="0"/>
        <w:adjustRightInd w:val="0"/>
        <w:jc w:val="both"/>
        <w:rPr>
          <w:rFonts w:ascii="Arial" w:hAnsi="Arial" w:cs="Tahoma"/>
          <w:sz w:val="22"/>
          <w:szCs w:val="22"/>
        </w:rPr>
      </w:pPr>
    </w:p>
    <w:p w14:paraId="0B04F256" w14:textId="670F10BC" w:rsidR="00A559B9" w:rsidRPr="002054ED" w:rsidRDefault="00F73CC4" w:rsidP="00747613">
      <w:pPr>
        <w:widowControl w:val="0"/>
        <w:tabs>
          <w:tab w:val="left" w:pos="220"/>
          <w:tab w:val="left" w:pos="720"/>
        </w:tabs>
        <w:autoSpaceDE w:val="0"/>
        <w:autoSpaceDN w:val="0"/>
        <w:adjustRightInd w:val="0"/>
        <w:spacing w:line="276" w:lineRule="auto"/>
        <w:jc w:val="both"/>
        <w:rPr>
          <w:rFonts w:cs="Tahoma"/>
        </w:rPr>
      </w:pPr>
      <w:r w:rsidRPr="00F73CC4">
        <w:rPr>
          <w:rFonts w:ascii="Arial" w:hAnsi="Arial" w:cs="Tahoma"/>
          <w:sz w:val="22"/>
          <w:szCs w:val="22"/>
        </w:rPr>
        <w:t>Tako, npr. registar javno-privatnih partnerstava u Hrvatskoj, uz podatke koji su dostupni i u Crnoj Gori, sadrži detaljno obrazloženu svrhu i sadržaj zaključenog ugovora uz obaveze javnog i privatnog partnera. Registar, dalje, uključuje i naknadu koju je privatni partner dužan da isplati javnom par</w:t>
      </w:r>
      <w:r w:rsidR="007F437F">
        <w:rPr>
          <w:rFonts w:ascii="Arial" w:hAnsi="Arial" w:cs="Tahoma"/>
          <w:sz w:val="22"/>
          <w:szCs w:val="22"/>
        </w:rPr>
        <w:t>t</w:t>
      </w:r>
      <w:r w:rsidRPr="00F73CC4">
        <w:rPr>
          <w:rFonts w:ascii="Arial" w:hAnsi="Arial" w:cs="Tahoma"/>
          <w:sz w:val="22"/>
          <w:szCs w:val="22"/>
        </w:rPr>
        <w:t xml:space="preserve">neru,  kao i ukupne kapitalne troškove JPP projekta. </w:t>
      </w:r>
    </w:p>
    <w:tbl>
      <w:tblPr>
        <w:tblStyle w:val="LightShading"/>
        <w:tblpPr w:leftFromText="180" w:rightFromText="180" w:vertAnchor="text" w:horzAnchor="page" w:tblpX="7903" w:tblpY="-1865"/>
        <w:tblOverlap w:val="never"/>
        <w:tblW w:w="0" w:type="auto"/>
        <w:tblLook w:val="04A0" w:firstRow="1" w:lastRow="0" w:firstColumn="1" w:lastColumn="0" w:noHBand="0" w:noVBand="1"/>
      </w:tblPr>
      <w:tblGrid>
        <w:gridCol w:w="3085"/>
      </w:tblGrid>
      <w:tr w:rsidR="00A559B9" w:rsidRPr="002054ED" w14:paraId="1CFBB0BB" w14:textId="77777777" w:rsidTr="00A55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7D18C2E"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Registarski broj </w:t>
            </w:r>
          </w:p>
        </w:tc>
      </w:tr>
      <w:tr w:rsidR="00A559B9" w:rsidRPr="002054ED" w14:paraId="6A186E37"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EB7BE9C"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Javni partner </w:t>
            </w:r>
          </w:p>
        </w:tc>
      </w:tr>
      <w:tr w:rsidR="00A559B9" w:rsidRPr="002054ED" w14:paraId="7F081BE7"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46492473"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Privatni partner </w:t>
            </w:r>
          </w:p>
        </w:tc>
      </w:tr>
      <w:tr w:rsidR="00A559B9" w:rsidRPr="002054ED" w14:paraId="68832E03"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5235BBC"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Datum potpisa </w:t>
            </w:r>
          </w:p>
        </w:tc>
      </w:tr>
      <w:tr w:rsidR="00A559B9" w:rsidRPr="002054ED" w14:paraId="22CC2FED"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0B890687"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Početak primjene </w:t>
            </w:r>
          </w:p>
        </w:tc>
      </w:tr>
      <w:tr w:rsidR="00A559B9" w:rsidRPr="002054ED" w14:paraId="4A9D43FB"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E576A7F"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Model javno-privatnog parnerstva </w:t>
            </w:r>
          </w:p>
        </w:tc>
      </w:tr>
      <w:tr w:rsidR="00A559B9" w:rsidRPr="002054ED" w14:paraId="284AFEDA"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0E45D6B8"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Svrha ugovora </w:t>
            </w:r>
          </w:p>
        </w:tc>
      </w:tr>
      <w:tr w:rsidR="00A559B9" w:rsidRPr="002054ED" w14:paraId="3C05493D"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01FB8E6"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Predmet ugovora </w:t>
            </w:r>
          </w:p>
        </w:tc>
      </w:tr>
      <w:tr w:rsidR="00A559B9" w:rsidRPr="002054ED" w14:paraId="33B269B5"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31D78267"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Područje primjene </w:t>
            </w:r>
          </w:p>
        </w:tc>
      </w:tr>
      <w:tr w:rsidR="00A559B9" w:rsidRPr="002054ED" w14:paraId="0C5848FB"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E8E18BF"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Glavne djelatnosti </w:t>
            </w:r>
          </w:p>
        </w:tc>
      </w:tr>
      <w:tr w:rsidR="00A559B9" w:rsidRPr="002054ED" w14:paraId="0CE224C2"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31F486BF"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DPN </w:t>
            </w:r>
          </w:p>
        </w:tc>
      </w:tr>
      <w:tr w:rsidR="00A559B9" w:rsidRPr="002054ED" w14:paraId="198D8506"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AA8D202"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Obaveze javnog partnera</w:t>
            </w:r>
          </w:p>
        </w:tc>
      </w:tr>
      <w:tr w:rsidR="00A559B9" w:rsidRPr="002054ED" w14:paraId="3C42E7E0"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6534F90A"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Naknada koju javni partner prima od privatnog partnera </w:t>
            </w:r>
          </w:p>
        </w:tc>
      </w:tr>
      <w:tr w:rsidR="00A559B9" w:rsidRPr="002054ED" w14:paraId="693D37CF"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DC63DC9"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Obaveze privatnog partnera </w:t>
            </w:r>
          </w:p>
        </w:tc>
      </w:tr>
      <w:tr w:rsidR="00A559B9" w:rsidRPr="002054ED" w14:paraId="5E8EC092"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6C9300B3"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Građevine</w:t>
            </w:r>
          </w:p>
        </w:tc>
      </w:tr>
      <w:tr w:rsidR="00A559B9" w:rsidRPr="002054ED" w14:paraId="0378B62B" w14:textId="77777777" w:rsidTr="00A5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57E9076"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 xml:space="preserve">Lokacija građevine </w:t>
            </w:r>
          </w:p>
        </w:tc>
      </w:tr>
      <w:tr w:rsidR="00A559B9" w:rsidRPr="002054ED" w14:paraId="6AF2A464" w14:textId="77777777" w:rsidTr="00A559B9">
        <w:tc>
          <w:tcPr>
            <w:cnfStyle w:val="001000000000" w:firstRow="0" w:lastRow="0" w:firstColumn="1" w:lastColumn="0" w:oddVBand="0" w:evenVBand="0" w:oddHBand="0" w:evenHBand="0" w:firstRowFirstColumn="0" w:firstRowLastColumn="0" w:lastRowFirstColumn="0" w:lastRowLastColumn="0"/>
            <w:tcW w:w="3085" w:type="dxa"/>
          </w:tcPr>
          <w:p w14:paraId="48F1450B" w14:textId="77777777" w:rsidR="00A559B9" w:rsidRPr="00A559B9" w:rsidRDefault="00A559B9" w:rsidP="00A559B9">
            <w:pPr>
              <w:widowControl w:val="0"/>
              <w:tabs>
                <w:tab w:val="left" w:pos="220"/>
                <w:tab w:val="left" w:pos="720"/>
              </w:tabs>
              <w:autoSpaceDE w:val="0"/>
              <w:autoSpaceDN w:val="0"/>
              <w:adjustRightInd w:val="0"/>
              <w:jc w:val="both"/>
              <w:rPr>
                <w:rFonts w:ascii="Arial" w:hAnsi="Arial" w:cs="Tahoma"/>
                <w:b w:val="0"/>
                <w:sz w:val="16"/>
                <w:szCs w:val="16"/>
              </w:rPr>
            </w:pPr>
            <w:r w:rsidRPr="00A559B9">
              <w:rPr>
                <w:rFonts w:ascii="Arial" w:hAnsi="Arial" w:cs="Tahoma"/>
                <w:b w:val="0"/>
                <w:sz w:val="16"/>
                <w:szCs w:val="16"/>
              </w:rPr>
              <w:t>Kapitalni troškovi JPP projekta</w:t>
            </w:r>
          </w:p>
        </w:tc>
      </w:tr>
    </w:tbl>
    <w:p w14:paraId="3343E4A6" w14:textId="77777777" w:rsidR="00A559B9" w:rsidRPr="002054ED" w:rsidRDefault="00A559B9" w:rsidP="00A559B9">
      <w:pPr>
        <w:widowControl w:val="0"/>
        <w:tabs>
          <w:tab w:val="left" w:pos="220"/>
          <w:tab w:val="left" w:pos="720"/>
        </w:tabs>
        <w:autoSpaceDE w:val="0"/>
        <w:autoSpaceDN w:val="0"/>
        <w:adjustRightInd w:val="0"/>
        <w:spacing w:after="240"/>
        <w:jc w:val="both"/>
        <w:rPr>
          <w:rFonts w:cs="Times"/>
        </w:rPr>
      </w:pPr>
    </w:p>
    <w:p w14:paraId="470647EC" w14:textId="3D2120C3" w:rsidR="001E3CD4" w:rsidRPr="00A559B9" w:rsidRDefault="00A559B9" w:rsidP="00A559B9">
      <w:pPr>
        <w:widowControl w:val="0"/>
        <w:tabs>
          <w:tab w:val="left" w:pos="220"/>
          <w:tab w:val="left" w:pos="720"/>
        </w:tabs>
        <w:autoSpaceDE w:val="0"/>
        <w:autoSpaceDN w:val="0"/>
        <w:adjustRightInd w:val="0"/>
        <w:spacing w:after="240"/>
        <w:jc w:val="both"/>
        <w:rPr>
          <w:rFonts w:ascii="Arial" w:hAnsi="Arial" w:cs="Times"/>
        </w:rPr>
      </w:pPr>
      <w:r>
        <w:rPr>
          <w:rFonts w:ascii="Arial" w:hAnsi="Arial" w:cs="Tahoma"/>
          <w:b/>
          <w:sz w:val="20"/>
          <w:szCs w:val="20"/>
        </w:rPr>
        <w:t xml:space="preserve">Tabela: </w:t>
      </w:r>
      <w:r w:rsidRPr="00A559B9">
        <w:rPr>
          <w:rFonts w:ascii="Arial" w:hAnsi="Arial" w:cs="Tahoma"/>
          <w:b/>
          <w:sz w:val="20"/>
          <w:szCs w:val="20"/>
        </w:rPr>
        <w:t xml:space="preserve">Primjer dobre prakse – sadržaj registra javno-privatnih partnerstava u Hrvatskoj </w:t>
      </w:r>
      <w:r w:rsidRPr="00A559B9">
        <w:rPr>
          <w:rStyle w:val="FootnoteReference"/>
          <w:rFonts w:ascii="Arial" w:hAnsi="Arial" w:cs="Tahoma"/>
          <w:b/>
          <w:sz w:val="20"/>
          <w:szCs w:val="20"/>
        </w:rPr>
        <w:footnoteReference w:id="20"/>
      </w:r>
    </w:p>
    <w:p w14:paraId="1E6E3B71" w14:textId="67C76F5A" w:rsidR="00915A05" w:rsidRPr="000A4607" w:rsidRDefault="001E3CD4" w:rsidP="00915A05">
      <w:pPr>
        <w:spacing w:line="276" w:lineRule="auto"/>
        <w:jc w:val="both"/>
        <w:rPr>
          <w:rFonts w:ascii="Arial" w:hAnsi="Arial" w:cs="Arial"/>
          <w:sz w:val="22"/>
          <w:szCs w:val="22"/>
          <w:lang w:val="en-GB"/>
        </w:rPr>
      </w:pPr>
      <w:r w:rsidRPr="000A4607">
        <w:rPr>
          <w:rFonts w:ascii="Arial" w:hAnsi="Arial" w:cs="Arial"/>
          <w:sz w:val="22"/>
          <w:szCs w:val="22"/>
          <w:lang w:val="en-GB"/>
        </w:rPr>
        <w:t>Na osno</w:t>
      </w:r>
      <w:r w:rsidR="005800DC" w:rsidRPr="000A4607">
        <w:rPr>
          <w:rFonts w:ascii="Arial" w:hAnsi="Arial" w:cs="Arial"/>
          <w:sz w:val="22"/>
          <w:szCs w:val="22"/>
          <w:lang w:val="en-GB"/>
        </w:rPr>
        <w:t>vu postojećeg Zakona dodijeljeno</w:t>
      </w:r>
      <w:r w:rsidRPr="000A4607">
        <w:rPr>
          <w:rFonts w:ascii="Arial" w:hAnsi="Arial" w:cs="Arial"/>
          <w:sz w:val="22"/>
          <w:szCs w:val="22"/>
          <w:lang w:val="en-GB"/>
        </w:rPr>
        <w:t xml:space="preserve"> je ukupno 183 koncesija,</w:t>
      </w:r>
      <w:r w:rsidR="0022352F" w:rsidRPr="000A4607">
        <w:rPr>
          <w:rFonts w:ascii="Arial" w:hAnsi="Arial" w:cs="Arial"/>
          <w:sz w:val="22"/>
          <w:szCs w:val="22"/>
          <w:lang w:val="en-GB"/>
        </w:rPr>
        <w:t xml:space="preserve"> </w:t>
      </w:r>
      <w:r w:rsidR="00AD76D7" w:rsidRPr="000A4607">
        <w:rPr>
          <w:rFonts w:ascii="Arial" w:hAnsi="Arial" w:cs="Arial"/>
          <w:sz w:val="22"/>
          <w:szCs w:val="22"/>
          <w:lang w:val="en-GB"/>
        </w:rPr>
        <w:t xml:space="preserve">od </w:t>
      </w:r>
      <w:r w:rsidR="00017AF1" w:rsidRPr="000A4607">
        <w:rPr>
          <w:rFonts w:ascii="Arial" w:hAnsi="Arial" w:cs="Arial"/>
          <w:sz w:val="22"/>
          <w:szCs w:val="22"/>
          <w:lang w:val="en-GB"/>
        </w:rPr>
        <w:t>čega je</w:t>
      </w:r>
      <w:r w:rsidR="00AD76D7" w:rsidRPr="000A4607">
        <w:rPr>
          <w:rFonts w:ascii="Arial" w:hAnsi="Arial" w:cs="Arial"/>
          <w:sz w:val="22"/>
          <w:szCs w:val="22"/>
          <w:lang w:val="en-GB"/>
        </w:rPr>
        <w:t xml:space="preserve"> 23 raskinuto. </w:t>
      </w:r>
      <w:r w:rsidR="00E21C20" w:rsidRPr="000A4607">
        <w:rPr>
          <w:rFonts w:ascii="Arial" w:hAnsi="Arial" w:cs="Arial"/>
          <w:sz w:val="22"/>
          <w:szCs w:val="22"/>
          <w:lang w:val="en-GB"/>
        </w:rPr>
        <w:t>S</w:t>
      </w:r>
      <w:r w:rsidR="00AD76D7" w:rsidRPr="000A4607">
        <w:rPr>
          <w:rFonts w:ascii="Arial" w:hAnsi="Arial" w:cs="Arial"/>
          <w:sz w:val="22"/>
          <w:szCs w:val="22"/>
          <w:lang w:val="en-GB"/>
        </w:rPr>
        <w:t>vega 3 koncesije su dodijeljene iz oblasti “uslužnih djelatnosti”</w:t>
      </w:r>
      <w:r w:rsidR="00F87DD1" w:rsidRPr="000A4607">
        <w:rPr>
          <w:rFonts w:ascii="Arial" w:hAnsi="Arial" w:cs="Arial"/>
          <w:sz w:val="22"/>
          <w:szCs w:val="22"/>
          <w:lang w:val="en-GB"/>
        </w:rPr>
        <w:t>.</w:t>
      </w:r>
      <w:r w:rsidR="00F87DD1" w:rsidRPr="000A4607">
        <w:rPr>
          <w:rStyle w:val="FootnoteReference"/>
          <w:rFonts w:ascii="Arial" w:hAnsi="Arial" w:cs="Arial"/>
          <w:sz w:val="22"/>
          <w:szCs w:val="22"/>
          <w:lang w:val="en-GB"/>
        </w:rPr>
        <w:footnoteReference w:id="21"/>
      </w:r>
      <w:r w:rsidR="00E21C20" w:rsidRPr="000A4607">
        <w:rPr>
          <w:rFonts w:ascii="Arial" w:hAnsi="Arial" w:cs="Arial"/>
          <w:sz w:val="22"/>
          <w:szCs w:val="22"/>
          <w:lang w:val="en-GB"/>
        </w:rPr>
        <w:t xml:space="preserve"> </w:t>
      </w:r>
      <w:r w:rsidR="0022352F" w:rsidRPr="000A4607">
        <w:rPr>
          <w:rFonts w:ascii="Arial" w:hAnsi="Arial" w:cs="Arial"/>
          <w:sz w:val="22"/>
          <w:szCs w:val="22"/>
          <w:lang w:val="en-GB"/>
        </w:rPr>
        <w:t xml:space="preserve">U 2013. </w:t>
      </w:r>
      <w:r w:rsidR="00A54ADF" w:rsidRPr="000A4607">
        <w:rPr>
          <w:rFonts w:ascii="Arial" w:hAnsi="Arial" w:cs="Arial"/>
          <w:sz w:val="22"/>
          <w:szCs w:val="22"/>
          <w:lang w:val="en-GB"/>
        </w:rPr>
        <w:t xml:space="preserve">godini su </w:t>
      </w:r>
      <w:r w:rsidR="00206D04" w:rsidRPr="000A4607">
        <w:rPr>
          <w:rFonts w:ascii="Arial" w:hAnsi="Arial" w:cs="Arial"/>
          <w:sz w:val="22"/>
          <w:szCs w:val="22"/>
          <w:lang w:val="en-GB"/>
        </w:rPr>
        <w:t xml:space="preserve">zaključena </w:t>
      </w:r>
      <w:r w:rsidR="005800DC" w:rsidRPr="000A4607">
        <w:rPr>
          <w:rFonts w:ascii="Arial" w:hAnsi="Arial" w:cs="Arial"/>
          <w:sz w:val="22"/>
          <w:szCs w:val="22"/>
          <w:lang w:val="en-GB"/>
        </w:rPr>
        <w:t xml:space="preserve"> samo </w:t>
      </w:r>
      <w:r w:rsidR="0022352F" w:rsidRPr="000A4607">
        <w:rPr>
          <w:rFonts w:ascii="Arial" w:hAnsi="Arial" w:cs="Arial"/>
          <w:sz w:val="22"/>
          <w:szCs w:val="22"/>
          <w:lang w:val="en-GB"/>
        </w:rPr>
        <w:t xml:space="preserve">2 </w:t>
      </w:r>
      <w:r w:rsidR="005800DC" w:rsidRPr="000A4607">
        <w:rPr>
          <w:rFonts w:ascii="Arial" w:hAnsi="Arial" w:cs="Arial"/>
          <w:sz w:val="22"/>
          <w:szCs w:val="22"/>
          <w:lang w:val="en-GB"/>
        </w:rPr>
        <w:t>koncesiona ugovora</w:t>
      </w:r>
      <w:r w:rsidR="00017AF1" w:rsidRPr="000A4607">
        <w:rPr>
          <w:rFonts w:ascii="Arial" w:hAnsi="Arial" w:cs="Arial"/>
          <w:sz w:val="22"/>
          <w:szCs w:val="22"/>
          <w:lang w:val="en-GB"/>
        </w:rPr>
        <w:t xml:space="preserve">, što </w:t>
      </w:r>
      <w:r w:rsidR="00003648">
        <w:rPr>
          <w:rFonts w:ascii="Arial" w:hAnsi="Arial" w:cs="Arial"/>
          <w:sz w:val="22"/>
          <w:szCs w:val="22"/>
          <w:lang w:val="en-GB"/>
        </w:rPr>
        <w:t>je potvrda</w:t>
      </w:r>
      <w:r w:rsidR="00017AF1" w:rsidRPr="000A4607">
        <w:rPr>
          <w:rFonts w:ascii="Arial" w:hAnsi="Arial" w:cs="Arial"/>
          <w:sz w:val="22"/>
          <w:szCs w:val="22"/>
          <w:lang w:val="en-GB"/>
        </w:rPr>
        <w:t xml:space="preserve"> </w:t>
      </w:r>
      <w:r w:rsidR="00003648">
        <w:rPr>
          <w:rFonts w:ascii="Arial" w:hAnsi="Arial" w:cs="Arial"/>
          <w:sz w:val="22"/>
          <w:szCs w:val="22"/>
          <w:lang w:val="en-GB"/>
        </w:rPr>
        <w:t>poteškoća</w:t>
      </w:r>
      <w:r w:rsidR="00840FC2" w:rsidRPr="000A4607">
        <w:rPr>
          <w:rFonts w:ascii="Arial" w:hAnsi="Arial" w:cs="Arial"/>
          <w:sz w:val="22"/>
          <w:szCs w:val="22"/>
          <w:lang w:val="en-GB"/>
        </w:rPr>
        <w:t xml:space="preserve"> u primjeni Zakona</w:t>
      </w:r>
      <w:r w:rsidR="0022352F" w:rsidRPr="000A4607">
        <w:rPr>
          <w:rFonts w:ascii="Arial" w:hAnsi="Arial" w:cs="Arial"/>
          <w:sz w:val="22"/>
          <w:szCs w:val="22"/>
          <w:lang w:val="en-GB"/>
        </w:rPr>
        <w:t xml:space="preserve">. </w:t>
      </w:r>
    </w:p>
    <w:p w14:paraId="2FF4F053" w14:textId="77777777" w:rsidR="00BE582E" w:rsidRPr="000A4607" w:rsidRDefault="00BE582E" w:rsidP="00915A05">
      <w:pPr>
        <w:spacing w:line="276" w:lineRule="auto"/>
        <w:jc w:val="both"/>
        <w:rPr>
          <w:rFonts w:ascii="Arial" w:hAnsi="Arial" w:cs="Arial"/>
          <w:sz w:val="22"/>
          <w:szCs w:val="22"/>
          <w:lang w:val="en-GB"/>
        </w:rPr>
      </w:pPr>
    </w:p>
    <w:p w14:paraId="5B65CFB0" w14:textId="075AEB0A" w:rsidR="008E7E5A" w:rsidRDefault="00BE582E" w:rsidP="008E7E5A">
      <w:pPr>
        <w:spacing w:line="276" w:lineRule="auto"/>
        <w:jc w:val="both"/>
        <w:rPr>
          <w:rFonts w:ascii="Arial" w:hAnsi="Arial" w:cs="Arial"/>
          <w:i/>
          <w:sz w:val="22"/>
          <w:szCs w:val="22"/>
          <w:lang w:val="en-GB"/>
        </w:rPr>
      </w:pPr>
      <w:r w:rsidRPr="000A4607">
        <w:rPr>
          <w:rFonts w:ascii="Arial" w:hAnsi="Arial" w:cs="Arial"/>
          <w:i/>
          <w:sz w:val="22"/>
          <w:szCs w:val="22"/>
          <w:lang w:val="en-GB"/>
        </w:rPr>
        <w:t>Odsustvo okvira za JPP, neusaglašenost postojećeg za koncesije, kao i problemi</w:t>
      </w:r>
      <w:r w:rsidR="0022352F" w:rsidRPr="000A4607">
        <w:rPr>
          <w:rFonts w:ascii="Arial" w:hAnsi="Arial" w:cs="Arial"/>
          <w:i/>
          <w:sz w:val="22"/>
          <w:szCs w:val="22"/>
          <w:lang w:val="en-GB"/>
        </w:rPr>
        <w:t xml:space="preserve"> u sprovođenju Zakona o koncesjiama</w:t>
      </w:r>
      <w:r w:rsidRPr="000A4607">
        <w:rPr>
          <w:rFonts w:ascii="Arial" w:hAnsi="Arial" w:cs="Arial"/>
          <w:i/>
          <w:sz w:val="22"/>
          <w:szCs w:val="22"/>
          <w:lang w:val="en-GB"/>
        </w:rPr>
        <w:t xml:space="preserve"> ukazuju na priori</w:t>
      </w:r>
      <w:r w:rsidR="00D537D1" w:rsidRPr="000A4607">
        <w:rPr>
          <w:rFonts w:ascii="Arial" w:hAnsi="Arial" w:cs="Arial"/>
          <w:i/>
          <w:sz w:val="22"/>
          <w:szCs w:val="22"/>
          <w:lang w:val="en-GB"/>
        </w:rPr>
        <w:t>tetnu potrebu definisanja zakonskih rješenja koja bi regulisala</w:t>
      </w:r>
      <w:r w:rsidRPr="000A4607">
        <w:rPr>
          <w:rFonts w:ascii="Arial" w:hAnsi="Arial" w:cs="Arial"/>
          <w:i/>
          <w:sz w:val="22"/>
          <w:szCs w:val="22"/>
          <w:lang w:val="en-GB"/>
        </w:rPr>
        <w:t xml:space="preserve"> ove oblas</w:t>
      </w:r>
      <w:r w:rsidR="008E7E5A" w:rsidRPr="000A4607">
        <w:rPr>
          <w:rFonts w:ascii="Arial" w:hAnsi="Arial" w:cs="Arial"/>
          <w:i/>
          <w:sz w:val="22"/>
          <w:szCs w:val="22"/>
          <w:lang w:val="en-GB"/>
        </w:rPr>
        <w:t xml:space="preserve">ti u skladu sa </w:t>
      </w:r>
      <w:r w:rsidR="00EA1D28" w:rsidRPr="000A4607">
        <w:rPr>
          <w:rFonts w:ascii="Arial" w:hAnsi="Arial" w:cs="Arial"/>
          <w:i/>
          <w:sz w:val="22"/>
          <w:szCs w:val="22"/>
          <w:lang w:val="en-GB"/>
        </w:rPr>
        <w:t>relevantnim EU propisima i</w:t>
      </w:r>
      <w:r w:rsidR="00C47BA0" w:rsidRPr="000A4607">
        <w:rPr>
          <w:rFonts w:ascii="Arial" w:hAnsi="Arial" w:cs="Arial"/>
          <w:i/>
          <w:sz w:val="22"/>
          <w:szCs w:val="22"/>
          <w:lang w:val="en-GB"/>
        </w:rPr>
        <w:t xml:space="preserve"> </w:t>
      </w:r>
      <w:r w:rsidR="008E7E5A" w:rsidRPr="000A4607">
        <w:rPr>
          <w:rFonts w:ascii="Arial" w:hAnsi="Arial" w:cs="Arial"/>
          <w:i/>
          <w:sz w:val="22"/>
          <w:szCs w:val="22"/>
          <w:lang w:val="en-GB"/>
        </w:rPr>
        <w:t xml:space="preserve">dobrim praksama </w:t>
      </w:r>
      <w:r w:rsidR="00C47BA0" w:rsidRPr="000A4607">
        <w:rPr>
          <w:rFonts w:ascii="Arial" w:hAnsi="Arial" w:cs="Arial"/>
          <w:i/>
          <w:sz w:val="22"/>
          <w:szCs w:val="22"/>
          <w:lang w:val="en-GB"/>
        </w:rPr>
        <w:t>zemalja koje imaju više iskustva u sprovođ</w:t>
      </w:r>
      <w:r w:rsidR="00065E2E" w:rsidRPr="000A4607">
        <w:rPr>
          <w:rFonts w:ascii="Arial" w:hAnsi="Arial" w:cs="Arial"/>
          <w:i/>
          <w:sz w:val="22"/>
          <w:szCs w:val="22"/>
          <w:lang w:val="en-GB"/>
        </w:rPr>
        <w:t>enju ove vrste projekata</w:t>
      </w:r>
      <w:r w:rsidR="00C47BA0" w:rsidRPr="000A4607">
        <w:rPr>
          <w:rFonts w:ascii="Arial" w:hAnsi="Arial" w:cs="Arial"/>
          <w:i/>
          <w:sz w:val="22"/>
          <w:szCs w:val="22"/>
          <w:lang w:val="en-GB"/>
        </w:rPr>
        <w:t>.</w:t>
      </w:r>
    </w:p>
    <w:p w14:paraId="7ED927BD" w14:textId="77777777" w:rsidR="001950E1" w:rsidRPr="000A4607" w:rsidRDefault="001950E1" w:rsidP="008E7E5A">
      <w:pPr>
        <w:spacing w:line="276" w:lineRule="auto"/>
        <w:jc w:val="both"/>
        <w:rPr>
          <w:rFonts w:ascii="Arial" w:hAnsi="Arial" w:cs="Arial"/>
          <w:i/>
          <w:sz w:val="22"/>
          <w:szCs w:val="22"/>
          <w:lang w:val="en-GB"/>
        </w:rPr>
      </w:pPr>
    </w:p>
    <w:p w14:paraId="04931143" w14:textId="0B3CD14A" w:rsidR="00DB43FB" w:rsidRPr="000A4607" w:rsidRDefault="00701711" w:rsidP="00015958">
      <w:pPr>
        <w:widowControl w:val="0"/>
        <w:autoSpaceDE w:val="0"/>
        <w:autoSpaceDN w:val="0"/>
        <w:adjustRightInd w:val="0"/>
        <w:spacing w:after="240" w:line="276" w:lineRule="auto"/>
        <w:jc w:val="both"/>
        <w:rPr>
          <w:rFonts w:ascii="Arial" w:hAnsi="Arial" w:cs="Arial"/>
          <w:b/>
          <w:color w:val="4F81BD" w:themeColor="accent1"/>
          <w:sz w:val="22"/>
          <w:szCs w:val="22"/>
          <w:lang w:val="en-GB"/>
        </w:rPr>
      </w:pPr>
      <w:r w:rsidRPr="000A4607">
        <w:rPr>
          <w:rFonts w:ascii="Arial" w:hAnsi="Arial" w:cs="Arial"/>
          <w:b/>
          <w:color w:val="4F81BD" w:themeColor="accent1"/>
          <w:sz w:val="22"/>
          <w:szCs w:val="22"/>
          <w:lang w:val="en-GB"/>
        </w:rPr>
        <w:t>Regulisanje</w:t>
      </w:r>
      <w:r w:rsidR="00CD7FCA" w:rsidRPr="000A4607">
        <w:rPr>
          <w:rFonts w:ascii="Arial" w:hAnsi="Arial" w:cs="Arial"/>
          <w:b/>
          <w:color w:val="4F81BD" w:themeColor="accent1"/>
          <w:sz w:val="22"/>
          <w:szCs w:val="22"/>
          <w:lang w:val="en-GB"/>
        </w:rPr>
        <w:t xml:space="preserve"> JPP </w:t>
      </w:r>
      <w:r w:rsidR="0022352F" w:rsidRPr="000A4607">
        <w:rPr>
          <w:rFonts w:ascii="Arial" w:hAnsi="Arial" w:cs="Arial"/>
          <w:b/>
          <w:color w:val="4F81BD" w:themeColor="accent1"/>
          <w:sz w:val="22"/>
          <w:szCs w:val="22"/>
          <w:lang w:val="en-GB"/>
        </w:rPr>
        <w:t>u zemljama u tranziciji</w:t>
      </w:r>
    </w:p>
    <w:p w14:paraId="4E86214B" w14:textId="74B626CA" w:rsidR="005C3225" w:rsidRPr="000A4607" w:rsidRDefault="00B12AAF" w:rsidP="0065274B">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Uzimajući u obzir zemlje u okruženju i zemlje za koje bi se moglo reći da su još uvijek u tranziciji, primjetno je da je većina u poslednjih </w:t>
      </w:r>
      <w:r w:rsidR="0083222D" w:rsidRPr="000A4607">
        <w:rPr>
          <w:rFonts w:ascii="Arial" w:hAnsi="Arial" w:cs="Arial"/>
          <w:sz w:val="22"/>
          <w:szCs w:val="22"/>
          <w:lang w:val="en-GB"/>
        </w:rPr>
        <w:t xml:space="preserve">deset </w:t>
      </w:r>
      <w:r w:rsidRPr="000A4607">
        <w:rPr>
          <w:rFonts w:ascii="Arial" w:hAnsi="Arial" w:cs="Arial"/>
          <w:sz w:val="22"/>
          <w:szCs w:val="22"/>
          <w:lang w:val="en-GB"/>
        </w:rPr>
        <w:t xml:space="preserve">godina unaprijedila zakonski i institucionalni okvir za JPP.  </w:t>
      </w:r>
    </w:p>
    <w:p w14:paraId="6A5C302B" w14:textId="752C46B9" w:rsidR="00EA4507" w:rsidRPr="000A4607" w:rsidRDefault="00200822"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Do 2004-05. godine veliki broj zemalja je imao pravni okvir isključivo za koncesije, dok je JPP uređivan postojećim pra</w:t>
      </w:r>
      <w:r w:rsidR="001E3C7D" w:rsidRPr="000A4607">
        <w:rPr>
          <w:rFonts w:ascii="Arial" w:hAnsi="Arial" w:cs="Arial"/>
          <w:sz w:val="22"/>
          <w:szCs w:val="22"/>
          <w:lang w:val="en-GB"/>
        </w:rPr>
        <w:t>vnim propisima</w:t>
      </w:r>
      <w:r w:rsidR="00E9799E" w:rsidRPr="000A4607">
        <w:rPr>
          <w:rFonts w:ascii="Arial" w:hAnsi="Arial" w:cs="Arial"/>
          <w:sz w:val="22"/>
          <w:szCs w:val="22"/>
          <w:lang w:val="en-GB"/>
        </w:rPr>
        <w:t xml:space="preserve">, u prvom redu </w:t>
      </w:r>
      <w:r w:rsidR="00DC0A42" w:rsidRPr="000A4607">
        <w:rPr>
          <w:rFonts w:ascii="Arial" w:hAnsi="Arial" w:cs="Arial"/>
          <w:sz w:val="22"/>
          <w:szCs w:val="22"/>
          <w:lang w:val="en-GB"/>
        </w:rPr>
        <w:t>za javne nabavke</w:t>
      </w:r>
      <w:r w:rsidR="006F2E3E" w:rsidRPr="000A4607">
        <w:rPr>
          <w:rFonts w:ascii="Arial" w:hAnsi="Arial" w:cs="Arial"/>
          <w:sz w:val="22"/>
          <w:szCs w:val="22"/>
          <w:lang w:val="en-GB"/>
        </w:rPr>
        <w:t>. Budući da na nivou Unije postoji niz propisa koje mogu služiti kao smjernice za uređenje ove oblasti,</w:t>
      </w:r>
      <w:r w:rsidR="00794917" w:rsidRPr="000A4607">
        <w:rPr>
          <w:rStyle w:val="FootnoteReference"/>
          <w:rFonts w:ascii="Arial" w:hAnsi="Arial" w:cs="Arial"/>
          <w:sz w:val="22"/>
          <w:szCs w:val="22"/>
          <w:lang w:val="en-GB"/>
        </w:rPr>
        <w:footnoteReference w:id="22"/>
      </w:r>
      <w:r w:rsidR="004726AC" w:rsidRPr="000A4607">
        <w:rPr>
          <w:rFonts w:ascii="Arial" w:hAnsi="Arial" w:cs="Arial"/>
          <w:sz w:val="22"/>
          <w:szCs w:val="22"/>
          <w:lang w:val="en-GB"/>
        </w:rPr>
        <w:t xml:space="preserve"> </w:t>
      </w:r>
      <w:r w:rsidR="00287564" w:rsidRPr="000A4607">
        <w:rPr>
          <w:rFonts w:ascii="Arial" w:hAnsi="Arial" w:cs="Arial"/>
          <w:sz w:val="22"/>
          <w:szCs w:val="22"/>
          <w:lang w:val="en-GB"/>
        </w:rPr>
        <w:t>s</w:t>
      </w:r>
      <w:r w:rsidR="009F76B6" w:rsidRPr="000A4607">
        <w:rPr>
          <w:rFonts w:ascii="Arial" w:hAnsi="Arial" w:cs="Arial"/>
          <w:sz w:val="22"/>
          <w:szCs w:val="22"/>
          <w:lang w:val="en-GB"/>
        </w:rPr>
        <w:t>ve više zemalja</w:t>
      </w:r>
      <w:r w:rsidR="00C4085B" w:rsidRPr="000A4607">
        <w:rPr>
          <w:rFonts w:ascii="Arial" w:hAnsi="Arial" w:cs="Arial"/>
          <w:sz w:val="22"/>
          <w:szCs w:val="22"/>
          <w:lang w:val="en-GB"/>
        </w:rPr>
        <w:t xml:space="preserve"> pored zakona o</w:t>
      </w:r>
      <w:r w:rsidR="000A31FD" w:rsidRPr="000A4607">
        <w:rPr>
          <w:rFonts w:ascii="Arial" w:hAnsi="Arial" w:cs="Arial"/>
          <w:sz w:val="22"/>
          <w:szCs w:val="22"/>
          <w:lang w:val="en-GB"/>
        </w:rPr>
        <w:t xml:space="preserve"> koncesijama ima i </w:t>
      </w:r>
      <w:r w:rsidR="00475910" w:rsidRPr="000A4607">
        <w:rPr>
          <w:rFonts w:ascii="Arial" w:hAnsi="Arial" w:cs="Arial"/>
          <w:sz w:val="22"/>
          <w:szCs w:val="22"/>
          <w:lang w:val="en-GB"/>
        </w:rPr>
        <w:t xml:space="preserve">odvojen </w:t>
      </w:r>
      <w:r w:rsidR="00363D50" w:rsidRPr="000A4607">
        <w:rPr>
          <w:rFonts w:ascii="Arial" w:hAnsi="Arial" w:cs="Arial"/>
          <w:sz w:val="22"/>
          <w:szCs w:val="22"/>
          <w:lang w:val="en-GB"/>
        </w:rPr>
        <w:t>propis</w:t>
      </w:r>
      <w:r w:rsidR="000A31FD" w:rsidRPr="000A4607">
        <w:rPr>
          <w:rFonts w:ascii="Arial" w:hAnsi="Arial" w:cs="Arial"/>
          <w:sz w:val="22"/>
          <w:szCs w:val="22"/>
          <w:lang w:val="en-GB"/>
        </w:rPr>
        <w:t xml:space="preserve"> za JPP, </w:t>
      </w:r>
      <w:r w:rsidR="00475910" w:rsidRPr="000A4607">
        <w:rPr>
          <w:rFonts w:ascii="Arial" w:hAnsi="Arial" w:cs="Arial"/>
          <w:sz w:val="22"/>
          <w:szCs w:val="22"/>
          <w:lang w:val="en-GB"/>
        </w:rPr>
        <w:t xml:space="preserve">ili u okviru jedinstvenog zakonskog teksta </w:t>
      </w:r>
      <w:r w:rsidRPr="000A4607">
        <w:rPr>
          <w:rFonts w:ascii="Arial" w:hAnsi="Arial" w:cs="Arial"/>
          <w:sz w:val="22"/>
          <w:szCs w:val="22"/>
          <w:lang w:val="en-GB"/>
        </w:rPr>
        <w:t>prepoznaju</w:t>
      </w:r>
      <w:r w:rsidR="000227CC" w:rsidRPr="000A4607">
        <w:rPr>
          <w:rFonts w:ascii="Arial" w:hAnsi="Arial" w:cs="Arial"/>
          <w:sz w:val="22"/>
          <w:szCs w:val="22"/>
          <w:lang w:val="en-GB"/>
        </w:rPr>
        <w:t xml:space="preserve"> koncesije kao </w:t>
      </w:r>
      <w:r w:rsidR="003F482B" w:rsidRPr="000A4607">
        <w:rPr>
          <w:rFonts w:ascii="Arial" w:hAnsi="Arial" w:cs="Arial"/>
          <w:sz w:val="22"/>
          <w:szCs w:val="22"/>
          <w:lang w:val="en-GB"/>
        </w:rPr>
        <w:t>oblik</w:t>
      </w:r>
      <w:r w:rsidR="000227CC" w:rsidRPr="000A4607">
        <w:rPr>
          <w:rFonts w:ascii="Arial" w:hAnsi="Arial" w:cs="Arial"/>
          <w:sz w:val="22"/>
          <w:szCs w:val="22"/>
          <w:lang w:val="en-GB"/>
        </w:rPr>
        <w:t xml:space="preserve"> JPP. </w:t>
      </w:r>
      <w:r w:rsidR="00CF491D" w:rsidRPr="000A4607">
        <w:rPr>
          <w:rFonts w:ascii="Arial" w:hAnsi="Arial" w:cs="Arial"/>
          <w:sz w:val="22"/>
          <w:szCs w:val="22"/>
          <w:lang w:val="en-GB"/>
        </w:rPr>
        <w:t xml:space="preserve">Potreba za </w:t>
      </w:r>
      <w:r w:rsidR="00EA4507" w:rsidRPr="000A4607">
        <w:rPr>
          <w:rFonts w:ascii="Arial" w:hAnsi="Arial" w:cs="Arial"/>
          <w:sz w:val="22"/>
          <w:szCs w:val="22"/>
          <w:lang w:val="en-GB"/>
        </w:rPr>
        <w:t>dodatnim</w:t>
      </w:r>
      <w:r w:rsidR="00CF491D" w:rsidRPr="000A4607">
        <w:rPr>
          <w:rFonts w:ascii="Arial" w:hAnsi="Arial" w:cs="Arial"/>
          <w:sz w:val="22"/>
          <w:szCs w:val="22"/>
          <w:lang w:val="en-GB"/>
        </w:rPr>
        <w:t xml:space="preserve"> zakonski</w:t>
      </w:r>
      <w:r w:rsidR="00EA4507" w:rsidRPr="000A4607">
        <w:rPr>
          <w:rFonts w:ascii="Arial" w:hAnsi="Arial" w:cs="Arial"/>
          <w:sz w:val="22"/>
          <w:szCs w:val="22"/>
          <w:lang w:val="en-GB"/>
        </w:rPr>
        <w:t xml:space="preserve">m tekstom se zasniva na mogućnostima </w:t>
      </w:r>
      <w:r w:rsidR="00CF491D" w:rsidRPr="000A4607">
        <w:rPr>
          <w:rFonts w:ascii="Arial" w:hAnsi="Arial" w:cs="Arial"/>
          <w:sz w:val="22"/>
          <w:szCs w:val="22"/>
          <w:lang w:val="en-GB"/>
        </w:rPr>
        <w:t xml:space="preserve">prepoznavanja </w:t>
      </w:r>
      <w:r w:rsidR="00EA4507" w:rsidRPr="000A4607">
        <w:rPr>
          <w:rFonts w:ascii="Arial" w:hAnsi="Arial" w:cs="Arial"/>
          <w:sz w:val="22"/>
          <w:szCs w:val="22"/>
          <w:lang w:val="en-GB"/>
        </w:rPr>
        <w:t xml:space="preserve">i regulisanja </w:t>
      </w:r>
      <w:r w:rsidR="00F81024" w:rsidRPr="000A4607">
        <w:rPr>
          <w:rFonts w:ascii="Arial" w:hAnsi="Arial" w:cs="Arial"/>
          <w:sz w:val="22"/>
          <w:szCs w:val="22"/>
          <w:lang w:val="en-GB"/>
        </w:rPr>
        <w:t>drugih JPP mehanizama u odnosu na koncesije</w:t>
      </w:r>
      <w:r w:rsidR="003E4895" w:rsidRPr="000A4607">
        <w:rPr>
          <w:rFonts w:ascii="Arial" w:hAnsi="Arial" w:cs="Arial"/>
          <w:sz w:val="22"/>
          <w:szCs w:val="22"/>
          <w:lang w:val="en-GB"/>
        </w:rPr>
        <w:t>,</w:t>
      </w:r>
      <w:r w:rsidR="00605F26" w:rsidRPr="000A4607">
        <w:rPr>
          <w:rStyle w:val="FootnoteReference"/>
          <w:rFonts w:ascii="Arial" w:hAnsi="Arial" w:cs="Arial"/>
          <w:sz w:val="22"/>
          <w:szCs w:val="22"/>
          <w:lang w:val="en-GB"/>
        </w:rPr>
        <w:footnoteReference w:id="23"/>
      </w:r>
      <w:r w:rsidR="003E4895" w:rsidRPr="000A4607">
        <w:rPr>
          <w:rFonts w:ascii="Arial" w:hAnsi="Arial" w:cs="Arial"/>
          <w:sz w:val="22"/>
          <w:szCs w:val="22"/>
          <w:lang w:val="en-GB"/>
        </w:rPr>
        <w:t xml:space="preserve"> odnosno </w:t>
      </w:r>
      <w:r w:rsidR="00444B77" w:rsidRPr="000A4607">
        <w:rPr>
          <w:rFonts w:ascii="Arial" w:hAnsi="Arial" w:cs="Arial"/>
          <w:sz w:val="22"/>
          <w:szCs w:val="22"/>
          <w:lang w:val="en-GB"/>
        </w:rPr>
        <w:t>unapređenja</w:t>
      </w:r>
      <w:r w:rsidR="003E4895" w:rsidRPr="000A4607">
        <w:rPr>
          <w:rFonts w:ascii="Arial" w:hAnsi="Arial" w:cs="Arial"/>
          <w:sz w:val="22"/>
          <w:szCs w:val="22"/>
          <w:lang w:val="en-GB"/>
        </w:rPr>
        <w:t xml:space="preserve"> zakonskog rješenja po kojem je konces</w:t>
      </w:r>
      <w:r w:rsidR="00033053" w:rsidRPr="000A4607">
        <w:rPr>
          <w:rFonts w:ascii="Arial" w:hAnsi="Arial" w:cs="Arial"/>
          <w:sz w:val="22"/>
          <w:szCs w:val="22"/>
          <w:lang w:val="en-GB"/>
        </w:rPr>
        <w:t xml:space="preserve">ija jedini operativni model javno-privatnog partnerstva. </w:t>
      </w:r>
    </w:p>
    <w:tbl>
      <w:tblPr>
        <w:tblStyle w:val="TableGrid"/>
        <w:tblpPr w:leftFromText="180" w:rightFromText="180" w:vertAnchor="text" w:tblpX="160" w:tblpY="1"/>
        <w:tblOverlap w:val="never"/>
        <w:tblW w:w="0" w:type="auto"/>
        <w:tblLayout w:type="fixed"/>
        <w:tblLook w:val="04A0" w:firstRow="1" w:lastRow="0" w:firstColumn="1" w:lastColumn="0" w:noHBand="0" w:noVBand="1"/>
      </w:tblPr>
      <w:tblGrid>
        <w:gridCol w:w="1145"/>
        <w:gridCol w:w="1178"/>
        <w:gridCol w:w="1179"/>
      </w:tblGrid>
      <w:tr w:rsidR="001E3CD4" w:rsidRPr="000A4607" w14:paraId="4F989705" w14:textId="77777777" w:rsidTr="00205000">
        <w:trPr>
          <w:trHeight w:val="124"/>
        </w:trPr>
        <w:tc>
          <w:tcPr>
            <w:tcW w:w="1145" w:type="dxa"/>
            <w:vMerge w:val="restart"/>
          </w:tcPr>
          <w:p w14:paraId="2FBD3502" w14:textId="69F279FE" w:rsidR="001E3CD4" w:rsidRPr="000A4607" w:rsidRDefault="001E3CD4" w:rsidP="002E07C8">
            <w:pPr>
              <w:widowControl w:val="0"/>
              <w:autoSpaceDE w:val="0"/>
              <w:autoSpaceDN w:val="0"/>
              <w:adjustRightInd w:val="0"/>
              <w:jc w:val="both"/>
              <w:rPr>
                <w:rFonts w:ascii="Franklin Gothic Book" w:hAnsi="Franklin Gothic Book" w:cs="Franklin Gothic Book"/>
                <w:sz w:val="16"/>
                <w:szCs w:val="16"/>
                <w:lang w:val="en-GB"/>
              </w:rPr>
            </w:pPr>
          </w:p>
        </w:tc>
        <w:tc>
          <w:tcPr>
            <w:tcW w:w="2357" w:type="dxa"/>
            <w:gridSpan w:val="2"/>
          </w:tcPr>
          <w:p w14:paraId="1582A249" w14:textId="30B060CA" w:rsidR="001E3CD4" w:rsidRPr="000A4607" w:rsidRDefault="001E3CD4" w:rsidP="002E07C8">
            <w:pPr>
              <w:widowControl w:val="0"/>
              <w:autoSpaceDE w:val="0"/>
              <w:autoSpaceDN w:val="0"/>
              <w:adjustRightInd w:val="0"/>
              <w:jc w:val="center"/>
              <w:rPr>
                <w:rFonts w:ascii="Arial" w:hAnsi="Arial" w:cs="Arial"/>
                <w:sz w:val="16"/>
                <w:szCs w:val="16"/>
                <w:lang w:val="en-GB"/>
              </w:rPr>
            </w:pPr>
            <w:r w:rsidRPr="000A4607">
              <w:rPr>
                <w:rFonts w:ascii="Arial" w:hAnsi="Arial" w:cs="Arial"/>
                <w:sz w:val="16"/>
                <w:szCs w:val="16"/>
                <w:lang w:val="en-GB"/>
              </w:rPr>
              <w:t>Zakonski okvir</w:t>
            </w:r>
            <w:r w:rsidR="002E07C8" w:rsidRPr="000A4607">
              <w:rPr>
                <w:rFonts w:ascii="Arial" w:hAnsi="Arial" w:cs="Arial"/>
                <w:sz w:val="16"/>
                <w:szCs w:val="16"/>
                <w:lang w:val="en-GB"/>
              </w:rPr>
              <w:t xml:space="preserve"> za JPP i koncesije</w:t>
            </w:r>
          </w:p>
        </w:tc>
      </w:tr>
      <w:tr w:rsidR="001E3CD4" w:rsidRPr="000A4607" w14:paraId="40790919" w14:textId="77777777" w:rsidTr="00632627">
        <w:trPr>
          <w:trHeight w:val="124"/>
        </w:trPr>
        <w:tc>
          <w:tcPr>
            <w:tcW w:w="1145" w:type="dxa"/>
            <w:vMerge/>
          </w:tcPr>
          <w:p w14:paraId="40151DE7" w14:textId="77777777" w:rsidR="001E3CD4" w:rsidRPr="000A4607" w:rsidRDefault="001E3CD4" w:rsidP="002E07C8">
            <w:pPr>
              <w:widowControl w:val="0"/>
              <w:autoSpaceDE w:val="0"/>
              <w:autoSpaceDN w:val="0"/>
              <w:adjustRightInd w:val="0"/>
              <w:jc w:val="both"/>
              <w:rPr>
                <w:rFonts w:ascii="Franklin Gothic Book" w:hAnsi="Franklin Gothic Book" w:cs="Franklin Gothic Book"/>
                <w:sz w:val="16"/>
                <w:szCs w:val="16"/>
                <w:lang w:val="en-GB"/>
              </w:rPr>
            </w:pPr>
          </w:p>
        </w:tc>
        <w:tc>
          <w:tcPr>
            <w:tcW w:w="1178" w:type="dxa"/>
          </w:tcPr>
          <w:p w14:paraId="0528FCB7" w14:textId="412A03BC" w:rsidR="001E3CD4" w:rsidRPr="000A4607" w:rsidRDefault="001E3CD4" w:rsidP="002E07C8">
            <w:pPr>
              <w:widowControl w:val="0"/>
              <w:autoSpaceDE w:val="0"/>
              <w:autoSpaceDN w:val="0"/>
              <w:adjustRightInd w:val="0"/>
              <w:jc w:val="both"/>
              <w:rPr>
                <w:rFonts w:ascii="Arial" w:hAnsi="Arial" w:cs="Arial"/>
                <w:sz w:val="16"/>
                <w:szCs w:val="16"/>
                <w:lang w:val="en-GB"/>
              </w:rPr>
            </w:pPr>
            <w:r w:rsidRPr="000A4607">
              <w:rPr>
                <w:rFonts w:ascii="Arial" w:hAnsi="Arial" w:cs="Arial"/>
                <w:sz w:val="16"/>
                <w:szCs w:val="16"/>
                <w:lang w:val="en-GB"/>
              </w:rPr>
              <w:t>Jedinstveni</w:t>
            </w:r>
          </w:p>
        </w:tc>
        <w:tc>
          <w:tcPr>
            <w:tcW w:w="1179" w:type="dxa"/>
          </w:tcPr>
          <w:p w14:paraId="1073AB23" w14:textId="4DB09940" w:rsidR="001E3CD4" w:rsidRPr="000A4607" w:rsidRDefault="001E3CD4" w:rsidP="002E07C8">
            <w:pPr>
              <w:widowControl w:val="0"/>
              <w:autoSpaceDE w:val="0"/>
              <w:autoSpaceDN w:val="0"/>
              <w:adjustRightInd w:val="0"/>
              <w:jc w:val="center"/>
              <w:rPr>
                <w:rFonts w:ascii="Arial" w:hAnsi="Arial" w:cs="Arial"/>
                <w:sz w:val="16"/>
                <w:szCs w:val="16"/>
                <w:lang w:val="en-GB"/>
              </w:rPr>
            </w:pPr>
            <w:r w:rsidRPr="000A4607">
              <w:rPr>
                <w:rFonts w:ascii="Arial" w:hAnsi="Arial" w:cs="Arial"/>
                <w:sz w:val="16"/>
                <w:szCs w:val="16"/>
                <w:lang w:val="en-GB"/>
              </w:rPr>
              <w:t>Odvojeni</w:t>
            </w:r>
          </w:p>
        </w:tc>
      </w:tr>
      <w:tr w:rsidR="002E07C8" w:rsidRPr="000A4607" w14:paraId="710B0460" w14:textId="77777777" w:rsidTr="00632627">
        <w:trPr>
          <w:trHeight w:val="124"/>
        </w:trPr>
        <w:tc>
          <w:tcPr>
            <w:tcW w:w="1145" w:type="dxa"/>
          </w:tcPr>
          <w:p w14:paraId="56D07B24" w14:textId="4EB3DB46" w:rsidR="002E07C8" w:rsidRPr="000A4607" w:rsidRDefault="002E07C8" w:rsidP="002E07C8">
            <w:pPr>
              <w:widowControl w:val="0"/>
              <w:autoSpaceDE w:val="0"/>
              <w:autoSpaceDN w:val="0"/>
              <w:adjustRightInd w:val="0"/>
              <w:jc w:val="both"/>
              <w:rPr>
                <w:rFonts w:ascii="Franklin Gothic Book" w:hAnsi="Franklin Gothic Book" w:cs="Franklin Gothic Book"/>
                <w:sz w:val="16"/>
                <w:szCs w:val="16"/>
                <w:lang w:val="en-GB"/>
              </w:rPr>
            </w:pPr>
            <w:r w:rsidRPr="000A4607">
              <w:rPr>
                <w:rFonts w:ascii="Franklin Gothic Book" w:hAnsi="Franklin Gothic Book" w:cs="Franklin Gothic Book"/>
                <w:sz w:val="16"/>
                <w:szCs w:val="16"/>
                <w:lang w:val="en-GB"/>
              </w:rPr>
              <w:t xml:space="preserve">Albanija </w:t>
            </w:r>
          </w:p>
        </w:tc>
        <w:tc>
          <w:tcPr>
            <w:tcW w:w="1178" w:type="dxa"/>
          </w:tcPr>
          <w:p w14:paraId="1711006D" w14:textId="0C5696C8" w:rsidR="002E07C8" w:rsidRPr="000A4607" w:rsidRDefault="002E07C8" w:rsidP="002E07C8">
            <w:pPr>
              <w:widowControl w:val="0"/>
              <w:autoSpaceDE w:val="0"/>
              <w:autoSpaceDN w:val="0"/>
              <w:adjustRightInd w:val="0"/>
              <w:jc w:val="center"/>
              <w:rPr>
                <w:rFonts w:ascii="Arial" w:hAnsi="Arial" w:cs="Arial"/>
                <w:sz w:val="16"/>
                <w:szCs w:val="16"/>
                <w:lang w:val="en-GB"/>
              </w:rPr>
            </w:pPr>
            <w:r w:rsidRPr="000A4607">
              <w:rPr>
                <w:rFonts w:ascii="Zapf Dingbats" w:hAnsi="Zapf Dingbats" w:cs="Franklin Gothic Book"/>
                <w:sz w:val="16"/>
                <w:szCs w:val="16"/>
                <w:lang w:val="en-GB"/>
              </w:rPr>
              <w:t>✓</w:t>
            </w:r>
          </w:p>
        </w:tc>
        <w:tc>
          <w:tcPr>
            <w:tcW w:w="1179" w:type="dxa"/>
          </w:tcPr>
          <w:p w14:paraId="024A221B" w14:textId="77777777" w:rsidR="002E07C8" w:rsidRPr="000A4607" w:rsidRDefault="002E07C8" w:rsidP="002E07C8">
            <w:pPr>
              <w:widowControl w:val="0"/>
              <w:autoSpaceDE w:val="0"/>
              <w:autoSpaceDN w:val="0"/>
              <w:adjustRightInd w:val="0"/>
              <w:jc w:val="center"/>
              <w:rPr>
                <w:rFonts w:ascii="Arial" w:hAnsi="Arial" w:cs="Arial"/>
                <w:sz w:val="16"/>
                <w:szCs w:val="16"/>
                <w:lang w:val="en-GB"/>
              </w:rPr>
            </w:pPr>
          </w:p>
        </w:tc>
      </w:tr>
      <w:tr w:rsidR="002E07C8" w:rsidRPr="000A4607" w14:paraId="1C689E34" w14:textId="77777777" w:rsidTr="00632627">
        <w:trPr>
          <w:trHeight w:val="124"/>
        </w:trPr>
        <w:tc>
          <w:tcPr>
            <w:tcW w:w="1145" w:type="dxa"/>
          </w:tcPr>
          <w:p w14:paraId="760406F9" w14:textId="7489EFE7" w:rsidR="002E07C8" w:rsidRPr="000A4607" w:rsidRDefault="002E07C8" w:rsidP="002E07C8">
            <w:pPr>
              <w:widowControl w:val="0"/>
              <w:autoSpaceDE w:val="0"/>
              <w:autoSpaceDN w:val="0"/>
              <w:adjustRightInd w:val="0"/>
              <w:jc w:val="both"/>
              <w:rPr>
                <w:rFonts w:ascii="Franklin Gothic Book" w:hAnsi="Franklin Gothic Book" w:cs="Franklin Gothic Book"/>
                <w:sz w:val="16"/>
                <w:szCs w:val="16"/>
                <w:lang w:val="en-GB"/>
              </w:rPr>
            </w:pPr>
            <w:r w:rsidRPr="000A4607">
              <w:rPr>
                <w:rFonts w:ascii="Franklin Gothic Book" w:hAnsi="Franklin Gothic Book" w:cs="Franklin Gothic Book"/>
                <w:sz w:val="16"/>
                <w:szCs w:val="16"/>
                <w:lang w:val="en-GB"/>
              </w:rPr>
              <w:t xml:space="preserve">Bugarska </w:t>
            </w:r>
          </w:p>
        </w:tc>
        <w:tc>
          <w:tcPr>
            <w:tcW w:w="1178" w:type="dxa"/>
          </w:tcPr>
          <w:p w14:paraId="138C73F3" w14:textId="77777777" w:rsidR="002E07C8" w:rsidRPr="000A4607" w:rsidRDefault="002E07C8" w:rsidP="002E07C8">
            <w:pPr>
              <w:widowControl w:val="0"/>
              <w:autoSpaceDE w:val="0"/>
              <w:autoSpaceDN w:val="0"/>
              <w:adjustRightInd w:val="0"/>
              <w:jc w:val="both"/>
              <w:rPr>
                <w:rFonts w:ascii="Arial" w:hAnsi="Arial" w:cs="Arial"/>
                <w:sz w:val="16"/>
                <w:szCs w:val="16"/>
                <w:lang w:val="en-GB"/>
              </w:rPr>
            </w:pPr>
          </w:p>
        </w:tc>
        <w:tc>
          <w:tcPr>
            <w:tcW w:w="1179" w:type="dxa"/>
          </w:tcPr>
          <w:p w14:paraId="0E48DD90" w14:textId="74AA60BC" w:rsidR="002E07C8" w:rsidRPr="000A4607" w:rsidRDefault="002E07C8" w:rsidP="002E07C8">
            <w:pPr>
              <w:widowControl w:val="0"/>
              <w:autoSpaceDE w:val="0"/>
              <w:autoSpaceDN w:val="0"/>
              <w:adjustRightInd w:val="0"/>
              <w:jc w:val="center"/>
              <w:rPr>
                <w:rFonts w:ascii="Arial" w:hAnsi="Arial" w:cs="Arial"/>
                <w:sz w:val="16"/>
                <w:szCs w:val="16"/>
                <w:lang w:val="en-GB"/>
              </w:rPr>
            </w:pPr>
            <w:r w:rsidRPr="000A4607">
              <w:rPr>
                <w:rFonts w:ascii="Zapf Dingbats" w:hAnsi="Zapf Dingbats" w:cs="Franklin Gothic Book"/>
                <w:sz w:val="16"/>
                <w:szCs w:val="16"/>
                <w:lang w:val="en-GB"/>
              </w:rPr>
              <w:t>✓</w:t>
            </w:r>
          </w:p>
        </w:tc>
      </w:tr>
      <w:tr w:rsidR="00F86933" w:rsidRPr="000A4607" w14:paraId="43BDC220" w14:textId="77777777" w:rsidTr="00632627">
        <w:trPr>
          <w:trHeight w:val="220"/>
        </w:trPr>
        <w:tc>
          <w:tcPr>
            <w:tcW w:w="1145" w:type="dxa"/>
          </w:tcPr>
          <w:p w14:paraId="2BE6861E" w14:textId="64175F25" w:rsidR="00C62F68" w:rsidRPr="000A4607" w:rsidRDefault="00C62F68" w:rsidP="00B97BD7">
            <w:pPr>
              <w:widowControl w:val="0"/>
              <w:autoSpaceDE w:val="0"/>
              <w:autoSpaceDN w:val="0"/>
              <w:adjustRightInd w:val="0"/>
              <w:jc w:val="both"/>
              <w:rPr>
                <w:rFonts w:ascii="Franklin Gothic Book" w:hAnsi="Franklin Gothic Book" w:cs="Franklin Gothic Book"/>
                <w:sz w:val="16"/>
                <w:szCs w:val="16"/>
                <w:lang w:val="en-GB"/>
              </w:rPr>
            </w:pPr>
            <w:r w:rsidRPr="000A4607">
              <w:rPr>
                <w:rFonts w:ascii="Franklin Gothic Book" w:hAnsi="Franklin Gothic Book" w:cs="Franklin Gothic Book"/>
                <w:sz w:val="16"/>
                <w:szCs w:val="16"/>
                <w:lang w:val="en-GB"/>
              </w:rPr>
              <w:t xml:space="preserve">Hrvatska </w:t>
            </w:r>
          </w:p>
        </w:tc>
        <w:tc>
          <w:tcPr>
            <w:tcW w:w="1178" w:type="dxa"/>
          </w:tcPr>
          <w:p w14:paraId="45B3E492" w14:textId="77777777" w:rsidR="00C62F68" w:rsidRPr="000A4607" w:rsidRDefault="00C62F68" w:rsidP="002E07C8">
            <w:pPr>
              <w:widowControl w:val="0"/>
              <w:autoSpaceDE w:val="0"/>
              <w:autoSpaceDN w:val="0"/>
              <w:adjustRightInd w:val="0"/>
              <w:jc w:val="both"/>
              <w:rPr>
                <w:rFonts w:ascii="Franklin Gothic Book" w:hAnsi="Franklin Gothic Book" w:cs="Franklin Gothic Book"/>
                <w:sz w:val="16"/>
                <w:szCs w:val="16"/>
                <w:lang w:val="en-GB"/>
              </w:rPr>
            </w:pPr>
          </w:p>
        </w:tc>
        <w:tc>
          <w:tcPr>
            <w:tcW w:w="1179" w:type="dxa"/>
          </w:tcPr>
          <w:p w14:paraId="21548D4F" w14:textId="66994166" w:rsidR="00C62F68" w:rsidRPr="000A4607" w:rsidRDefault="00041AC8" w:rsidP="002E07C8">
            <w:pPr>
              <w:widowControl w:val="0"/>
              <w:autoSpaceDE w:val="0"/>
              <w:autoSpaceDN w:val="0"/>
              <w:adjustRightInd w:val="0"/>
              <w:jc w:val="center"/>
              <w:rPr>
                <w:rFonts w:ascii="Franklin Gothic Book" w:hAnsi="Franklin Gothic Book" w:cs="Franklin Gothic Book"/>
                <w:sz w:val="16"/>
                <w:szCs w:val="16"/>
                <w:lang w:val="en-GB"/>
              </w:rPr>
            </w:pPr>
            <w:r w:rsidRPr="000A4607">
              <w:rPr>
                <w:rFonts w:ascii="Zapf Dingbats" w:hAnsi="Zapf Dingbats" w:cs="Franklin Gothic Book"/>
                <w:sz w:val="16"/>
                <w:szCs w:val="16"/>
                <w:lang w:val="en-GB"/>
              </w:rPr>
              <w:t>✓</w:t>
            </w:r>
          </w:p>
        </w:tc>
      </w:tr>
      <w:tr w:rsidR="002E07C8" w:rsidRPr="000A4607" w14:paraId="60B1B565" w14:textId="77777777" w:rsidTr="00632627">
        <w:trPr>
          <w:trHeight w:val="220"/>
        </w:trPr>
        <w:tc>
          <w:tcPr>
            <w:tcW w:w="1145" w:type="dxa"/>
          </w:tcPr>
          <w:p w14:paraId="21232647" w14:textId="1C88CC25" w:rsidR="002E07C8" w:rsidRPr="000A4607" w:rsidRDefault="002E07C8" w:rsidP="002E07C8">
            <w:pPr>
              <w:widowControl w:val="0"/>
              <w:autoSpaceDE w:val="0"/>
              <w:autoSpaceDN w:val="0"/>
              <w:adjustRightInd w:val="0"/>
              <w:jc w:val="both"/>
              <w:rPr>
                <w:rFonts w:ascii="Franklin Gothic Book" w:hAnsi="Franklin Gothic Book" w:cs="Franklin Gothic Book"/>
                <w:sz w:val="16"/>
                <w:szCs w:val="16"/>
                <w:lang w:val="en-GB"/>
              </w:rPr>
            </w:pPr>
            <w:r w:rsidRPr="000A4607">
              <w:rPr>
                <w:rFonts w:ascii="Franklin Gothic Book" w:hAnsi="Franklin Gothic Book" w:cs="Franklin Gothic Book"/>
                <w:sz w:val="16"/>
                <w:szCs w:val="16"/>
                <w:lang w:val="en-GB"/>
              </w:rPr>
              <w:t xml:space="preserve">Makedonija </w:t>
            </w:r>
          </w:p>
        </w:tc>
        <w:tc>
          <w:tcPr>
            <w:tcW w:w="1178" w:type="dxa"/>
          </w:tcPr>
          <w:p w14:paraId="5C802A83" w14:textId="532446CC" w:rsidR="002E07C8" w:rsidRPr="000A4607" w:rsidRDefault="002E07C8" w:rsidP="002E07C8">
            <w:pPr>
              <w:widowControl w:val="0"/>
              <w:autoSpaceDE w:val="0"/>
              <w:autoSpaceDN w:val="0"/>
              <w:adjustRightInd w:val="0"/>
              <w:jc w:val="center"/>
              <w:rPr>
                <w:rFonts w:ascii="Franklin Gothic Book" w:hAnsi="Franklin Gothic Book" w:cs="Franklin Gothic Book"/>
                <w:sz w:val="16"/>
                <w:szCs w:val="16"/>
                <w:lang w:val="en-GB"/>
              </w:rPr>
            </w:pPr>
            <w:r w:rsidRPr="000A4607">
              <w:rPr>
                <w:rFonts w:ascii="Zapf Dingbats" w:hAnsi="Zapf Dingbats" w:cs="Franklin Gothic Book"/>
                <w:sz w:val="16"/>
                <w:szCs w:val="16"/>
                <w:lang w:val="en-GB"/>
              </w:rPr>
              <w:t>✓</w:t>
            </w:r>
          </w:p>
        </w:tc>
        <w:tc>
          <w:tcPr>
            <w:tcW w:w="1179" w:type="dxa"/>
          </w:tcPr>
          <w:p w14:paraId="3BEBD0B0" w14:textId="77777777" w:rsidR="002E07C8" w:rsidRPr="000A4607" w:rsidRDefault="002E07C8" w:rsidP="002E07C8">
            <w:pPr>
              <w:widowControl w:val="0"/>
              <w:autoSpaceDE w:val="0"/>
              <w:autoSpaceDN w:val="0"/>
              <w:adjustRightInd w:val="0"/>
              <w:jc w:val="center"/>
              <w:rPr>
                <w:rFonts w:ascii="Zapf Dingbats" w:hAnsi="Zapf Dingbats" w:cs="Franklin Gothic Book"/>
                <w:sz w:val="16"/>
                <w:szCs w:val="16"/>
                <w:lang w:val="en-GB"/>
              </w:rPr>
            </w:pPr>
          </w:p>
        </w:tc>
      </w:tr>
      <w:tr w:rsidR="00F86933" w:rsidRPr="000A4607" w14:paraId="571C9D0C" w14:textId="77777777" w:rsidTr="00632627">
        <w:trPr>
          <w:trHeight w:val="135"/>
        </w:trPr>
        <w:tc>
          <w:tcPr>
            <w:tcW w:w="1145" w:type="dxa"/>
          </w:tcPr>
          <w:p w14:paraId="72D693C4" w14:textId="751767DE" w:rsidR="00C62F68" w:rsidRPr="000A4607" w:rsidRDefault="00C62F68" w:rsidP="002E07C8">
            <w:pPr>
              <w:widowControl w:val="0"/>
              <w:autoSpaceDE w:val="0"/>
              <w:autoSpaceDN w:val="0"/>
              <w:adjustRightInd w:val="0"/>
              <w:jc w:val="both"/>
              <w:rPr>
                <w:rFonts w:ascii="Franklin Gothic Book" w:hAnsi="Franklin Gothic Book" w:cs="Franklin Gothic Book"/>
                <w:sz w:val="16"/>
                <w:szCs w:val="16"/>
                <w:lang w:val="en-GB"/>
              </w:rPr>
            </w:pPr>
            <w:r w:rsidRPr="000A4607">
              <w:rPr>
                <w:rFonts w:ascii="Franklin Gothic Book" w:hAnsi="Franklin Gothic Book" w:cs="Franklin Gothic Book"/>
                <w:sz w:val="16"/>
                <w:szCs w:val="16"/>
                <w:lang w:val="en-GB"/>
              </w:rPr>
              <w:t xml:space="preserve">Srbija </w:t>
            </w:r>
          </w:p>
        </w:tc>
        <w:tc>
          <w:tcPr>
            <w:tcW w:w="1178" w:type="dxa"/>
          </w:tcPr>
          <w:p w14:paraId="2CEFB2C7" w14:textId="40F5A63E" w:rsidR="00C62F68" w:rsidRPr="000A4607" w:rsidRDefault="003F482B" w:rsidP="002E07C8">
            <w:pPr>
              <w:widowControl w:val="0"/>
              <w:autoSpaceDE w:val="0"/>
              <w:autoSpaceDN w:val="0"/>
              <w:adjustRightInd w:val="0"/>
              <w:jc w:val="center"/>
              <w:rPr>
                <w:rFonts w:ascii="Franklin Gothic Book" w:hAnsi="Franklin Gothic Book" w:cs="Franklin Gothic Book"/>
                <w:sz w:val="16"/>
                <w:szCs w:val="16"/>
                <w:lang w:val="en-GB"/>
              </w:rPr>
            </w:pPr>
            <w:r w:rsidRPr="000A4607">
              <w:rPr>
                <w:rFonts w:ascii="Zapf Dingbats" w:hAnsi="Zapf Dingbats" w:cs="Franklin Gothic Book"/>
                <w:sz w:val="16"/>
                <w:szCs w:val="16"/>
                <w:lang w:val="en-GB"/>
              </w:rPr>
              <w:t>✓</w:t>
            </w:r>
          </w:p>
        </w:tc>
        <w:tc>
          <w:tcPr>
            <w:tcW w:w="1179" w:type="dxa"/>
          </w:tcPr>
          <w:p w14:paraId="02AA376A" w14:textId="77777777" w:rsidR="00C62F68" w:rsidRPr="000A4607" w:rsidRDefault="00C62F68" w:rsidP="002E07C8">
            <w:pPr>
              <w:widowControl w:val="0"/>
              <w:autoSpaceDE w:val="0"/>
              <w:autoSpaceDN w:val="0"/>
              <w:adjustRightInd w:val="0"/>
              <w:jc w:val="both"/>
              <w:rPr>
                <w:rFonts w:ascii="Franklin Gothic Book" w:hAnsi="Franklin Gothic Book" w:cs="Franklin Gothic Book"/>
                <w:sz w:val="16"/>
                <w:szCs w:val="16"/>
                <w:lang w:val="en-GB"/>
              </w:rPr>
            </w:pPr>
          </w:p>
        </w:tc>
      </w:tr>
    </w:tbl>
    <w:p w14:paraId="3C9D41AC" w14:textId="086E29C4" w:rsidR="00265237" w:rsidRPr="000A4607" w:rsidRDefault="00B7677B"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Iako je Zakon o koncesijama usvojen 2006.</w:t>
      </w:r>
      <w:r w:rsidR="006146AC" w:rsidRPr="000A4607">
        <w:rPr>
          <w:rFonts w:ascii="Arial" w:hAnsi="Arial" w:cs="Arial"/>
          <w:sz w:val="22"/>
          <w:szCs w:val="22"/>
          <w:lang w:val="en-GB"/>
        </w:rPr>
        <w:t xml:space="preserve"> godine, </w:t>
      </w:r>
      <w:r w:rsidRPr="000A4607">
        <w:rPr>
          <w:rFonts w:ascii="Arial" w:hAnsi="Arial" w:cs="Arial"/>
          <w:sz w:val="22"/>
          <w:szCs w:val="22"/>
          <w:lang w:val="en-GB"/>
        </w:rPr>
        <w:t xml:space="preserve"> </w:t>
      </w:r>
      <w:r w:rsidR="006146AC" w:rsidRPr="000A4607">
        <w:rPr>
          <w:rFonts w:ascii="Arial" w:hAnsi="Arial" w:cs="Arial"/>
          <w:sz w:val="22"/>
          <w:szCs w:val="22"/>
          <w:lang w:val="en-GB"/>
        </w:rPr>
        <w:t>z</w:t>
      </w:r>
      <w:r w:rsidR="00E52675" w:rsidRPr="000A4607">
        <w:rPr>
          <w:rFonts w:ascii="Arial" w:hAnsi="Arial" w:cs="Arial"/>
          <w:sz w:val="22"/>
          <w:szCs w:val="22"/>
          <w:lang w:val="en-GB"/>
        </w:rPr>
        <w:t>akonodavni okvir za JPP</w:t>
      </w:r>
      <w:r w:rsidR="006146AC" w:rsidRPr="000A4607">
        <w:rPr>
          <w:rFonts w:ascii="Arial" w:hAnsi="Arial" w:cs="Arial"/>
          <w:sz w:val="22"/>
          <w:szCs w:val="22"/>
          <w:lang w:val="en-GB"/>
        </w:rPr>
        <w:t xml:space="preserve"> u Bugarskoj</w:t>
      </w:r>
      <w:r w:rsidR="00E52675" w:rsidRPr="000A4607">
        <w:rPr>
          <w:rFonts w:ascii="Arial" w:hAnsi="Arial" w:cs="Arial"/>
          <w:sz w:val="22"/>
          <w:szCs w:val="22"/>
          <w:lang w:val="en-GB"/>
        </w:rPr>
        <w:t xml:space="preserve"> je bio </w:t>
      </w:r>
      <w:r w:rsidR="00431DC6" w:rsidRPr="000A4607">
        <w:rPr>
          <w:rFonts w:ascii="Arial" w:hAnsi="Arial" w:cs="Arial"/>
          <w:sz w:val="22"/>
          <w:szCs w:val="22"/>
          <w:lang w:val="en-GB"/>
        </w:rPr>
        <w:t>nekoherentan i fragmentiran uz veliki broj propisa koji su uređivali ovu oblast.</w:t>
      </w:r>
      <w:r w:rsidR="006146AC" w:rsidRPr="000A4607">
        <w:rPr>
          <w:rStyle w:val="FootnoteReference"/>
          <w:rFonts w:ascii="Arial" w:hAnsi="Arial" w:cs="Arial"/>
          <w:sz w:val="22"/>
          <w:szCs w:val="22"/>
          <w:lang w:val="en-GB"/>
        </w:rPr>
        <w:footnoteReference w:id="24"/>
      </w:r>
      <w:r w:rsidR="00464863" w:rsidRPr="000A4607">
        <w:rPr>
          <w:rFonts w:ascii="Arial" w:hAnsi="Arial" w:cs="Arial"/>
          <w:sz w:val="22"/>
          <w:szCs w:val="22"/>
          <w:lang w:val="en-GB"/>
        </w:rPr>
        <w:t xml:space="preserve"> </w:t>
      </w:r>
      <w:r w:rsidR="00571851" w:rsidRPr="000A4607">
        <w:rPr>
          <w:rFonts w:ascii="Arial" w:hAnsi="Arial" w:cs="Arial"/>
          <w:sz w:val="22"/>
          <w:szCs w:val="22"/>
          <w:lang w:val="en-GB"/>
        </w:rPr>
        <w:t>Zakon o javno-priva</w:t>
      </w:r>
      <w:r w:rsidR="00E52675" w:rsidRPr="000A4607">
        <w:rPr>
          <w:rFonts w:ascii="Arial" w:hAnsi="Arial" w:cs="Arial"/>
          <w:sz w:val="22"/>
          <w:szCs w:val="22"/>
          <w:lang w:val="en-GB"/>
        </w:rPr>
        <w:t>t</w:t>
      </w:r>
      <w:r w:rsidR="00571851" w:rsidRPr="000A4607">
        <w:rPr>
          <w:rFonts w:ascii="Arial" w:hAnsi="Arial" w:cs="Arial"/>
          <w:sz w:val="22"/>
          <w:szCs w:val="22"/>
          <w:lang w:val="en-GB"/>
        </w:rPr>
        <w:t>n</w:t>
      </w:r>
      <w:r w:rsidR="00E52675" w:rsidRPr="000A4607">
        <w:rPr>
          <w:rFonts w:ascii="Arial" w:hAnsi="Arial" w:cs="Arial"/>
          <w:sz w:val="22"/>
          <w:szCs w:val="22"/>
          <w:lang w:val="en-GB"/>
        </w:rPr>
        <w:t xml:space="preserve">om partnerstvu u Bugarskoj je </w:t>
      </w:r>
      <w:r w:rsidR="009A1D76" w:rsidRPr="000A4607">
        <w:rPr>
          <w:rFonts w:ascii="Arial" w:hAnsi="Arial" w:cs="Arial"/>
          <w:sz w:val="22"/>
          <w:szCs w:val="22"/>
          <w:lang w:val="en-GB"/>
        </w:rPr>
        <w:t xml:space="preserve">usvojen 2012. a </w:t>
      </w:r>
      <w:r w:rsidR="00E52675" w:rsidRPr="000A4607">
        <w:rPr>
          <w:rFonts w:ascii="Arial" w:hAnsi="Arial" w:cs="Arial"/>
          <w:sz w:val="22"/>
          <w:szCs w:val="22"/>
          <w:lang w:val="en-GB"/>
        </w:rPr>
        <w:t xml:space="preserve">stupio na snagu 2013. godine. </w:t>
      </w:r>
      <w:r w:rsidR="00903B9E" w:rsidRPr="000A4607">
        <w:rPr>
          <w:rFonts w:ascii="Arial" w:hAnsi="Arial" w:cs="Arial"/>
          <w:sz w:val="22"/>
          <w:szCs w:val="22"/>
          <w:lang w:val="en-GB"/>
        </w:rPr>
        <w:t>U Hrvatskoj je Zakon o koncesijama usvojen 2008. godine</w:t>
      </w:r>
      <w:r w:rsidR="00355BD3" w:rsidRPr="000A4607">
        <w:rPr>
          <w:rFonts w:ascii="Arial" w:hAnsi="Arial" w:cs="Arial"/>
          <w:sz w:val="22"/>
          <w:szCs w:val="22"/>
          <w:lang w:val="en-GB"/>
        </w:rPr>
        <w:t xml:space="preserve">, kad i Zakon o JPP koji je </w:t>
      </w:r>
      <w:r w:rsidR="00903B9E" w:rsidRPr="000A4607">
        <w:rPr>
          <w:rFonts w:ascii="Arial" w:hAnsi="Arial" w:cs="Arial"/>
          <w:sz w:val="22"/>
          <w:szCs w:val="22"/>
          <w:lang w:val="en-GB"/>
        </w:rPr>
        <w:t>izmijenjen 2011. godine, a nove izmjene su trenutno na javnoj raspravi.</w:t>
      </w:r>
      <w:r w:rsidR="00FD217B" w:rsidRPr="000A4607">
        <w:rPr>
          <w:rFonts w:ascii="Arial" w:hAnsi="Arial" w:cs="Arial"/>
          <w:sz w:val="22"/>
          <w:szCs w:val="22"/>
          <w:lang w:val="en-GB"/>
        </w:rPr>
        <w:t xml:space="preserve"> U Srbiji je Zakon o javno-privatnom partnerstvu i koncesijama usvojen 2011. godine. </w:t>
      </w:r>
    </w:p>
    <w:p w14:paraId="698C1592" w14:textId="4BA6ED60" w:rsidR="00003648" w:rsidRPr="00747613" w:rsidRDefault="00B9491D"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Zakon o javno-privatnom partnerstvu </w:t>
      </w:r>
      <w:r w:rsidR="00B718F9" w:rsidRPr="000A4607">
        <w:rPr>
          <w:rFonts w:ascii="Arial" w:hAnsi="Arial" w:cs="Arial"/>
          <w:sz w:val="22"/>
          <w:szCs w:val="22"/>
          <w:lang w:val="en-GB"/>
        </w:rPr>
        <w:t>usvojile su</w:t>
      </w:r>
      <w:r w:rsidRPr="000A4607">
        <w:rPr>
          <w:rFonts w:ascii="Arial" w:hAnsi="Arial" w:cs="Arial"/>
          <w:sz w:val="22"/>
          <w:szCs w:val="22"/>
          <w:lang w:val="en-GB"/>
        </w:rPr>
        <w:t xml:space="preserve"> i </w:t>
      </w:r>
      <w:r w:rsidR="00CA432F" w:rsidRPr="000A4607">
        <w:rPr>
          <w:rFonts w:ascii="Arial" w:hAnsi="Arial" w:cs="Arial"/>
          <w:sz w:val="22"/>
          <w:szCs w:val="22"/>
          <w:lang w:val="en-GB"/>
        </w:rPr>
        <w:t xml:space="preserve">Bosna i Hercegovina (2009.), </w:t>
      </w:r>
      <w:r w:rsidR="007D356F" w:rsidRPr="000A4607">
        <w:rPr>
          <w:rFonts w:ascii="Arial" w:hAnsi="Arial" w:cs="Arial"/>
          <w:sz w:val="22"/>
          <w:szCs w:val="22"/>
          <w:lang w:val="en-GB"/>
        </w:rPr>
        <w:t>Letonija (2009.),</w:t>
      </w:r>
      <w:r w:rsidR="007D356F" w:rsidRPr="000A4607">
        <w:rPr>
          <w:rStyle w:val="FootnoteReference"/>
          <w:rFonts w:ascii="Arial" w:hAnsi="Arial" w:cs="Arial"/>
          <w:sz w:val="22"/>
          <w:szCs w:val="22"/>
          <w:lang w:val="en-GB"/>
        </w:rPr>
        <w:footnoteReference w:id="25"/>
      </w:r>
      <w:r w:rsidR="007D356F" w:rsidRPr="000A4607">
        <w:rPr>
          <w:rFonts w:ascii="Arial" w:hAnsi="Arial" w:cs="Arial"/>
          <w:sz w:val="22"/>
          <w:szCs w:val="22"/>
          <w:lang w:val="en-GB"/>
        </w:rPr>
        <w:t xml:space="preserve"> </w:t>
      </w:r>
      <w:r w:rsidR="00A35990" w:rsidRPr="000A4607">
        <w:rPr>
          <w:rFonts w:ascii="Arial" w:hAnsi="Arial" w:cs="Arial"/>
          <w:sz w:val="22"/>
          <w:szCs w:val="22"/>
          <w:lang w:val="en-GB"/>
        </w:rPr>
        <w:t xml:space="preserve">Kosovo (2011.), </w:t>
      </w:r>
      <w:r w:rsidR="00355BD3" w:rsidRPr="000A4607">
        <w:rPr>
          <w:rFonts w:ascii="Arial" w:hAnsi="Arial" w:cs="Arial"/>
          <w:sz w:val="22"/>
          <w:szCs w:val="22"/>
          <w:lang w:val="en-GB"/>
        </w:rPr>
        <w:t xml:space="preserve">Poljska (2009.), </w:t>
      </w:r>
      <w:r w:rsidRPr="000A4607">
        <w:rPr>
          <w:rFonts w:ascii="Arial" w:hAnsi="Arial" w:cs="Arial"/>
          <w:sz w:val="22"/>
          <w:szCs w:val="22"/>
          <w:lang w:val="en-GB"/>
        </w:rPr>
        <w:t>Rumunija</w:t>
      </w:r>
      <w:r w:rsidR="004E2231" w:rsidRPr="000A4607">
        <w:rPr>
          <w:rFonts w:ascii="Arial" w:hAnsi="Arial" w:cs="Arial"/>
          <w:sz w:val="22"/>
          <w:szCs w:val="22"/>
          <w:lang w:val="en-GB"/>
        </w:rPr>
        <w:t xml:space="preserve"> (2010.),</w:t>
      </w:r>
      <w:r w:rsidRPr="000A4607">
        <w:rPr>
          <w:rStyle w:val="FootnoteReference"/>
          <w:rFonts w:ascii="Arial" w:hAnsi="Arial" w:cs="Arial"/>
          <w:sz w:val="22"/>
          <w:szCs w:val="22"/>
          <w:lang w:val="en-GB"/>
        </w:rPr>
        <w:footnoteReference w:id="26"/>
      </w:r>
      <w:r w:rsidR="00BC2267" w:rsidRPr="000A4607">
        <w:rPr>
          <w:rFonts w:ascii="Arial" w:hAnsi="Arial" w:cs="Arial"/>
          <w:sz w:val="22"/>
          <w:szCs w:val="22"/>
          <w:lang w:val="en-GB"/>
        </w:rPr>
        <w:t xml:space="preserve"> i Slovenija (2006.)</w:t>
      </w:r>
      <w:r w:rsidR="007D694C" w:rsidRPr="000A4607">
        <w:rPr>
          <w:rFonts w:ascii="Arial" w:hAnsi="Arial" w:cs="Arial"/>
          <w:sz w:val="22"/>
          <w:szCs w:val="22"/>
          <w:lang w:val="en-GB"/>
        </w:rPr>
        <w:t>, d</w:t>
      </w:r>
      <w:r w:rsidR="00F1723B" w:rsidRPr="000A4607">
        <w:rPr>
          <w:rFonts w:ascii="Arial" w:hAnsi="Arial" w:cs="Arial"/>
          <w:sz w:val="22"/>
          <w:szCs w:val="22"/>
          <w:lang w:val="en-GB"/>
        </w:rPr>
        <w:t xml:space="preserve">ok </w:t>
      </w:r>
      <w:r w:rsidR="007D694C" w:rsidRPr="000A4607">
        <w:rPr>
          <w:rFonts w:ascii="Arial" w:hAnsi="Arial" w:cs="Arial"/>
          <w:sz w:val="22"/>
          <w:szCs w:val="22"/>
          <w:lang w:val="en-GB"/>
        </w:rPr>
        <w:t xml:space="preserve">Albanija (2013.) i </w:t>
      </w:r>
      <w:r w:rsidR="00F1723B" w:rsidRPr="000A4607">
        <w:rPr>
          <w:rFonts w:ascii="Arial" w:hAnsi="Arial" w:cs="Arial"/>
          <w:sz w:val="22"/>
          <w:szCs w:val="22"/>
          <w:lang w:val="en-GB"/>
        </w:rPr>
        <w:t xml:space="preserve">Makedonija (2012.), imaju </w:t>
      </w:r>
      <w:r w:rsidR="00B402D0" w:rsidRPr="000A4607">
        <w:rPr>
          <w:rFonts w:ascii="Arial" w:hAnsi="Arial" w:cs="Arial"/>
          <w:sz w:val="22"/>
          <w:szCs w:val="22"/>
          <w:lang w:val="en-GB"/>
        </w:rPr>
        <w:t>jedinstven zakon koji uređuje</w:t>
      </w:r>
      <w:r w:rsidR="007D694C" w:rsidRPr="000A4607">
        <w:rPr>
          <w:rFonts w:ascii="Arial" w:hAnsi="Arial" w:cs="Arial"/>
          <w:sz w:val="22"/>
          <w:szCs w:val="22"/>
          <w:lang w:val="en-GB"/>
        </w:rPr>
        <w:t xml:space="preserve"> JPP i koncesije. </w:t>
      </w:r>
      <w:r w:rsidR="00B402D0" w:rsidRPr="000A4607">
        <w:rPr>
          <w:rFonts w:ascii="Arial" w:hAnsi="Arial" w:cs="Arial"/>
          <w:sz w:val="22"/>
          <w:szCs w:val="22"/>
          <w:lang w:val="en-GB"/>
        </w:rPr>
        <w:t>Zemlje koje još uvijek nemaju specifično zakonodavstvo za JPP, između ostalih, su Estonija, Litvanija,</w:t>
      </w:r>
      <w:r w:rsidR="00B402D0" w:rsidRPr="000A4607">
        <w:rPr>
          <w:rStyle w:val="FootnoteReference"/>
          <w:rFonts w:ascii="Arial" w:hAnsi="Arial" w:cs="Arial"/>
          <w:sz w:val="22"/>
          <w:szCs w:val="22"/>
          <w:lang w:val="en-GB"/>
        </w:rPr>
        <w:footnoteReference w:id="27"/>
      </w:r>
      <w:r w:rsidR="00B402D0" w:rsidRPr="000A4607">
        <w:rPr>
          <w:rFonts w:ascii="Arial" w:hAnsi="Arial" w:cs="Arial"/>
          <w:sz w:val="22"/>
          <w:szCs w:val="22"/>
          <w:lang w:val="en-GB"/>
        </w:rPr>
        <w:t xml:space="preserve"> Mađarska,</w:t>
      </w:r>
      <w:r w:rsidR="00B402D0" w:rsidRPr="000A4607">
        <w:rPr>
          <w:rStyle w:val="FootnoteReference"/>
          <w:rFonts w:ascii="Arial" w:hAnsi="Arial" w:cs="Arial"/>
          <w:sz w:val="22"/>
          <w:szCs w:val="22"/>
          <w:lang w:val="en-GB"/>
        </w:rPr>
        <w:footnoteReference w:id="28"/>
      </w:r>
      <w:r w:rsidR="00B402D0" w:rsidRPr="000A4607">
        <w:rPr>
          <w:rFonts w:ascii="Arial" w:hAnsi="Arial" w:cs="Arial"/>
          <w:sz w:val="22"/>
          <w:szCs w:val="22"/>
          <w:lang w:val="en-GB"/>
        </w:rPr>
        <w:t xml:space="preserve"> Slovačka,</w:t>
      </w:r>
      <w:r w:rsidR="00B402D0" w:rsidRPr="000A4607">
        <w:rPr>
          <w:rStyle w:val="FootnoteReference"/>
          <w:rFonts w:ascii="Arial" w:hAnsi="Arial" w:cs="Arial"/>
          <w:sz w:val="22"/>
          <w:szCs w:val="22"/>
          <w:lang w:val="en-GB"/>
        </w:rPr>
        <w:footnoteReference w:id="29"/>
      </w:r>
      <w:r w:rsidR="00B402D0" w:rsidRPr="000A4607">
        <w:rPr>
          <w:rFonts w:ascii="Arial" w:hAnsi="Arial" w:cs="Arial"/>
          <w:sz w:val="22"/>
          <w:szCs w:val="22"/>
          <w:lang w:val="en-GB"/>
        </w:rPr>
        <w:t xml:space="preserve"> itd.</w:t>
      </w:r>
    </w:p>
    <w:p w14:paraId="526C4E46" w14:textId="1FC4A604" w:rsidR="00A6466F" w:rsidRPr="004B7119" w:rsidRDefault="004B7119" w:rsidP="00015958">
      <w:pPr>
        <w:widowControl w:val="0"/>
        <w:autoSpaceDE w:val="0"/>
        <w:autoSpaceDN w:val="0"/>
        <w:adjustRightInd w:val="0"/>
        <w:spacing w:after="240" w:line="276" w:lineRule="auto"/>
        <w:jc w:val="both"/>
        <w:rPr>
          <w:rFonts w:ascii="Arial" w:hAnsi="Arial" w:cs="Arial"/>
          <w:sz w:val="22"/>
          <w:szCs w:val="22"/>
          <w:lang w:val="en-GB"/>
        </w:rPr>
      </w:pPr>
      <w:r w:rsidRPr="004B7119">
        <w:rPr>
          <w:rFonts w:ascii="Arial" w:hAnsi="Arial" w:cs="Arial"/>
          <w:b/>
          <w:color w:val="4F81BD" w:themeColor="accent1"/>
          <w:sz w:val="22"/>
          <w:szCs w:val="22"/>
        </w:rPr>
        <w:t>Institucionalno ustrojstvo</w:t>
      </w:r>
      <w:r>
        <w:rPr>
          <w:rFonts w:ascii="Arial" w:hAnsi="Arial" w:cs="Arial"/>
          <w:sz w:val="22"/>
          <w:szCs w:val="22"/>
        </w:rPr>
        <w:t xml:space="preserve"> </w:t>
      </w:r>
      <w:r w:rsidR="00E93C8A" w:rsidRPr="000A4607">
        <w:rPr>
          <w:rFonts w:ascii="Arial" w:hAnsi="Arial" w:cs="Arial"/>
          <w:b/>
          <w:color w:val="4F81BD" w:themeColor="accent1"/>
          <w:sz w:val="22"/>
          <w:szCs w:val="22"/>
          <w:lang w:val="en-GB"/>
        </w:rPr>
        <w:t xml:space="preserve">za JPP </w:t>
      </w:r>
    </w:p>
    <w:p w14:paraId="5DB361FA" w14:textId="58368AB9" w:rsidR="00E01709" w:rsidRPr="000A4607" w:rsidRDefault="00E01709" w:rsidP="00015958">
      <w:pPr>
        <w:widowControl w:val="0"/>
        <w:autoSpaceDE w:val="0"/>
        <w:autoSpaceDN w:val="0"/>
        <w:adjustRightInd w:val="0"/>
        <w:spacing w:after="240" w:line="276" w:lineRule="auto"/>
        <w:jc w:val="both"/>
        <w:rPr>
          <w:rFonts w:ascii="Arial" w:hAnsi="Arial" w:cs="Arial"/>
          <w:i/>
          <w:sz w:val="22"/>
          <w:szCs w:val="22"/>
          <w:lang w:val="en-GB"/>
        </w:rPr>
      </w:pPr>
      <w:r w:rsidRPr="000A4607">
        <w:rPr>
          <w:rFonts w:ascii="Arial" w:hAnsi="Arial" w:cs="Arial"/>
          <w:i/>
          <w:sz w:val="22"/>
          <w:szCs w:val="22"/>
          <w:lang w:val="en-GB"/>
        </w:rPr>
        <w:t xml:space="preserve">Budući da većina zemalja uređuje procedure za izbor privatnog partnera po uzoru na one koje su definisane relevantnim direktivama za oblasti koncesija i javnih nabavki, jedno od ključnih pitanja za regulisanje javno-privatnog partnerstva je i optimalan institucionalni okvir za pripremu, realizaciju i monitoring JPP. </w:t>
      </w:r>
    </w:p>
    <w:p w14:paraId="03064CE4" w14:textId="41A4D061" w:rsidR="00281688" w:rsidRPr="00D4755D" w:rsidRDefault="00892CBC" w:rsidP="00015958">
      <w:pPr>
        <w:widowControl w:val="0"/>
        <w:autoSpaceDE w:val="0"/>
        <w:autoSpaceDN w:val="0"/>
        <w:adjustRightInd w:val="0"/>
        <w:spacing w:after="240" w:line="276" w:lineRule="auto"/>
        <w:jc w:val="both"/>
        <w:rPr>
          <w:rFonts w:ascii="Arial" w:hAnsi="Arial" w:cs="Arial"/>
          <w:sz w:val="22"/>
          <w:szCs w:val="22"/>
        </w:rPr>
      </w:pPr>
      <w:r w:rsidRPr="000A4607">
        <w:rPr>
          <w:rFonts w:ascii="Arial" w:hAnsi="Arial" w:cs="Arial"/>
          <w:sz w:val="22"/>
          <w:szCs w:val="22"/>
          <w:lang w:val="en-GB"/>
        </w:rPr>
        <w:t>K</w:t>
      </w:r>
      <w:r w:rsidR="00F534AF" w:rsidRPr="000A4607">
        <w:rPr>
          <w:rFonts w:ascii="Arial" w:hAnsi="Arial" w:cs="Arial"/>
          <w:sz w:val="22"/>
          <w:szCs w:val="22"/>
          <w:lang w:val="en-GB"/>
        </w:rPr>
        <w:t xml:space="preserve">valifikovan i motivisan kadar u </w:t>
      </w:r>
      <w:r w:rsidR="0065274B">
        <w:rPr>
          <w:rFonts w:ascii="Arial" w:hAnsi="Arial" w:cs="Arial"/>
          <w:sz w:val="22"/>
          <w:szCs w:val="22"/>
          <w:lang w:val="en-GB"/>
        </w:rPr>
        <w:t>javnoj upravi</w:t>
      </w:r>
      <w:r w:rsidR="00581E0A" w:rsidRPr="000A4607">
        <w:rPr>
          <w:rFonts w:ascii="Arial" w:hAnsi="Arial" w:cs="Arial"/>
          <w:sz w:val="22"/>
          <w:szCs w:val="22"/>
          <w:lang w:val="en-GB"/>
        </w:rPr>
        <w:t xml:space="preserve"> za JPP</w:t>
      </w:r>
      <w:r w:rsidR="00F534AF" w:rsidRPr="000A4607">
        <w:rPr>
          <w:rFonts w:ascii="Arial" w:hAnsi="Arial" w:cs="Arial"/>
          <w:sz w:val="22"/>
          <w:szCs w:val="22"/>
          <w:lang w:val="en-GB"/>
        </w:rPr>
        <w:t xml:space="preserve"> može da pomogne definisanju uloge javnog sektora i</w:t>
      </w:r>
      <w:r w:rsidR="00581E0A" w:rsidRPr="000A4607">
        <w:rPr>
          <w:rFonts w:ascii="Arial" w:hAnsi="Arial" w:cs="Arial"/>
          <w:sz w:val="22"/>
          <w:szCs w:val="22"/>
          <w:lang w:val="en-GB"/>
        </w:rPr>
        <w:t xml:space="preserve"> izgradnju</w:t>
      </w:r>
      <w:r w:rsidR="00F534AF" w:rsidRPr="000A4607">
        <w:rPr>
          <w:rFonts w:ascii="Arial" w:hAnsi="Arial" w:cs="Arial"/>
          <w:sz w:val="22"/>
          <w:szCs w:val="22"/>
          <w:lang w:val="en-GB"/>
        </w:rPr>
        <w:t xml:space="preserve"> institucionalnih kapaciteta </w:t>
      </w:r>
      <w:r w:rsidR="00DC7849" w:rsidRPr="000A4607">
        <w:rPr>
          <w:rFonts w:ascii="Arial" w:hAnsi="Arial" w:cs="Arial"/>
          <w:sz w:val="22"/>
          <w:szCs w:val="22"/>
          <w:lang w:val="en-GB"/>
        </w:rPr>
        <w:t>za upravljanje</w:t>
      </w:r>
      <w:r w:rsidR="00F534AF" w:rsidRPr="000A4607">
        <w:rPr>
          <w:rFonts w:ascii="Arial" w:hAnsi="Arial" w:cs="Arial"/>
          <w:sz w:val="22"/>
          <w:szCs w:val="22"/>
          <w:lang w:val="en-GB"/>
        </w:rPr>
        <w:t xml:space="preserve"> ovim projektima na svim nivoima </w:t>
      </w:r>
      <w:r w:rsidR="00D43E5A" w:rsidRPr="000A4607">
        <w:rPr>
          <w:rFonts w:ascii="Arial" w:hAnsi="Arial" w:cs="Arial"/>
          <w:sz w:val="22"/>
          <w:szCs w:val="22"/>
          <w:lang w:val="en-GB"/>
        </w:rPr>
        <w:t>vlasti.</w:t>
      </w:r>
      <w:r w:rsidR="00581E0A" w:rsidRPr="000A4607">
        <w:rPr>
          <w:rStyle w:val="FootnoteReference"/>
          <w:rFonts w:ascii="Arial" w:hAnsi="Arial" w:cs="Arial"/>
          <w:sz w:val="22"/>
          <w:szCs w:val="22"/>
          <w:lang w:val="en-GB"/>
        </w:rPr>
        <w:footnoteReference w:id="30"/>
      </w:r>
      <w:r w:rsidR="00D43E5A" w:rsidRPr="000A4607">
        <w:rPr>
          <w:rFonts w:ascii="Arial" w:hAnsi="Arial" w:cs="Arial"/>
          <w:sz w:val="22"/>
          <w:szCs w:val="22"/>
          <w:lang w:val="en-GB"/>
        </w:rPr>
        <w:t xml:space="preserve"> </w:t>
      </w:r>
      <w:r w:rsidR="00581E0A" w:rsidRPr="000A4607">
        <w:rPr>
          <w:rFonts w:ascii="Arial" w:hAnsi="Arial" w:cs="Arial"/>
          <w:sz w:val="22"/>
          <w:szCs w:val="22"/>
          <w:lang w:val="en-GB"/>
        </w:rPr>
        <w:t xml:space="preserve"> Stoga je v</w:t>
      </w:r>
      <w:r w:rsidR="00464863" w:rsidRPr="000A4607">
        <w:rPr>
          <w:rFonts w:ascii="Arial" w:hAnsi="Arial" w:cs="Arial"/>
          <w:sz w:val="22"/>
          <w:szCs w:val="22"/>
          <w:lang w:val="en-GB"/>
        </w:rPr>
        <w:t>ećina zemalja koje su usvojile</w:t>
      </w:r>
      <w:r w:rsidR="00DF5F03" w:rsidRPr="000A4607">
        <w:rPr>
          <w:rFonts w:ascii="Arial" w:hAnsi="Arial" w:cs="Arial"/>
          <w:sz w:val="22"/>
          <w:szCs w:val="22"/>
          <w:lang w:val="en-GB"/>
        </w:rPr>
        <w:t xml:space="preserve"> zakonski okvir za J</w:t>
      </w:r>
      <w:r w:rsidR="00073D77" w:rsidRPr="000A4607">
        <w:rPr>
          <w:rFonts w:ascii="Arial" w:hAnsi="Arial" w:cs="Arial"/>
          <w:sz w:val="22"/>
          <w:szCs w:val="22"/>
          <w:lang w:val="en-GB"/>
        </w:rPr>
        <w:t>PP ovim aktom je uspostavilo i centralnu jedinicu ko</w:t>
      </w:r>
      <w:r w:rsidR="00903B9E" w:rsidRPr="000A4607">
        <w:rPr>
          <w:rFonts w:ascii="Arial" w:hAnsi="Arial" w:cs="Arial"/>
          <w:sz w:val="22"/>
          <w:szCs w:val="22"/>
          <w:lang w:val="en-GB"/>
        </w:rPr>
        <w:t xml:space="preserve">ja je zadužena za stručnu pomoć u pripremi </w:t>
      </w:r>
      <w:r w:rsidR="00073D77" w:rsidRPr="000A4607">
        <w:rPr>
          <w:rFonts w:ascii="Arial" w:hAnsi="Arial" w:cs="Arial"/>
          <w:sz w:val="22"/>
          <w:szCs w:val="22"/>
          <w:lang w:val="en-GB"/>
        </w:rPr>
        <w:t>projekata</w:t>
      </w:r>
      <w:r w:rsidR="00903B9E" w:rsidRPr="000A4607">
        <w:rPr>
          <w:rFonts w:ascii="Arial" w:hAnsi="Arial" w:cs="Arial"/>
          <w:sz w:val="22"/>
          <w:szCs w:val="22"/>
          <w:lang w:val="en-GB"/>
        </w:rPr>
        <w:t xml:space="preserve"> po ovom modelu.</w:t>
      </w:r>
      <w:r w:rsidR="00240002" w:rsidRPr="000A4607">
        <w:rPr>
          <w:rFonts w:ascii="Arial" w:hAnsi="Arial" w:cs="Arial"/>
          <w:sz w:val="22"/>
          <w:szCs w:val="22"/>
          <w:lang w:val="en-GB"/>
        </w:rPr>
        <w:t xml:space="preserve"> </w:t>
      </w:r>
      <w:r w:rsidR="005A523F">
        <w:rPr>
          <w:rFonts w:ascii="Arial" w:hAnsi="Arial" w:cs="Arial"/>
          <w:sz w:val="22"/>
          <w:szCs w:val="22"/>
        </w:rPr>
        <w:t>Tr</w:t>
      </w:r>
      <w:r w:rsidR="00DC6200">
        <w:rPr>
          <w:rFonts w:ascii="Arial" w:hAnsi="Arial" w:cs="Arial"/>
          <w:sz w:val="22"/>
          <w:szCs w:val="22"/>
        </w:rPr>
        <w:t>i s</w:t>
      </w:r>
      <w:r w:rsidR="0065274B">
        <w:rPr>
          <w:rFonts w:ascii="Arial" w:hAnsi="Arial" w:cs="Arial"/>
          <w:sz w:val="22"/>
          <w:szCs w:val="22"/>
        </w:rPr>
        <w:t xml:space="preserve">u najčešća </w:t>
      </w:r>
      <w:r w:rsidR="00DC6200">
        <w:rPr>
          <w:rFonts w:ascii="Arial" w:hAnsi="Arial" w:cs="Arial"/>
          <w:sz w:val="22"/>
          <w:szCs w:val="22"/>
        </w:rPr>
        <w:t xml:space="preserve">modela </w:t>
      </w:r>
      <w:r w:rsidR="005A523F">
        <w:rPr>
          <w:rFonts w:ascii="Arial" w:hAnsi="Arial" w:cs="Arial"/>
          <w:sz w:val="22"/>
          <w:szCs w:val="22"/>
        </w:rPr>
        <w:t>specijalizovanih institucija</w:t>
      </w:r>
      <w:r w:rsidR="00237908">
        <w:rPr>
          <w:rFonts w:ascii="Arial" w:hAnsi="Arial" w:cs="Arial"/>
          <w:sz w:val="22"/>
          <w:szCs w:val="22"/>
        </w:rPr>
        <w:t xml:space="preserve"> za JPP</w:t>
      </w:r>
      <w:r w:rsidR="005A523F">
        <w:rPr>
          <w:rFonts w:ascii="Arial" w:hAnsi="Arial" w:cs="Arial"/>
          <w:sz w:val="22"/>
          <w:szCs w:val="22"/>
        </w:rPr>
        <w:t xml:space="preserve"> koje može formirati izvršna vlast: </w:t>
      </w:r>
      <w:r w:rsidR="00D25408">
        <w:rPr>
          <w:rFonts w:ascii="Arial" w:hAnsi="Arial" w:cs="Arial"/>
          <w:sz w:val="22"/>
          <w:szCs w:val="22"/>
        </w:rPr>
        <w:t xml:space="preserve">centralizovana/centralna samostalna jedinica; </w:t>
      </w:r>
      <w:r w:rsidR="00B602ED">
        <w:rPr>
          <w:rFonts w:ascii="Arial" w:hAnsi="Arial" w:cs="Arial"/>
          <w:sz w:val="22"/>
          <w:szCs w:val="22"/>
        </w:rPr>
        <w:t xml:space="preserve">jedinica unutar ministarstva nadležnog za oblast finansija (ili drugog ministarstva); jedna ili više jedinica </w:t>
      </w:r>
      <w:r w:rsidR="009537F7">
        <w:rPr>
          <w:rFonts w:ascii="Arial" w:hAnsi="Arial" w:cs="Arial"/>
          <w:sz w:val="22"/>
          <w:szCs w:val="22"/>
        </w:rPr>
        <w:t>nadležnih za JPP po pojedinim sektorima.</w:t>
      </w:r>
      <w:r w:rsidR="009537F7">
        <w:rPr>
          <w:rStyle w:val="FootnoteReference"/>
          <w:rFonts w:ascii="Arial" w:hAnsi="Arial" w:cs="Arial"/>
          <w:sz w:val="22"/>
          <w:szCs w:val="22"/>
        </w:rPr>
        <w:footnoteReference w:id="31"/>
      </w:r>
      <w:r w:rsidR="005A523F">
        <w:rPr>
          <w:rFonts w:ascii="Arial" w:hAnsi="Arial" w:cs="Arial"/>
          <w:sz w:val="22"/>
          <w:szCs w:val="22"/>
        </w:rPr>
        <w:t xml:space="preserve"> </w:t>
      </w:r>
      <w:r w:rsidR="00D4755D">
        <w:rPr>
          <w:rFonts w:ascii="Arial" w:hAnsi="Arial" w:cs="Arial"/>
          <w:sz w:val="22"/>
          <w:szCs w:val="22"/>
        </w:rPr>
        <w:t>Zadatak ovih jedinica je da</w:t>
      </w:r>
      <w:r w:rsidR="00096CD6">
        <w:rPr>
          <w:rFonts w:ascii="Arial" w:hAnsi="Arial" w:cs="Arial"/>
          <w:sz w:val="22"/>
          <w:szCs w:val="22"/>
        </w:rPr>
        <w:t>, između ostalog,</w:t>
      </w:r>
      <w:r w:rsidR="00D4755D">
        <w:rPr>
          <w:rFonts w:ascii="Arial" w:hAnsi="Arial" w:cs="Arial"/>
          <w:sz w:val="22"/>
          <w:szCs w:val="22"/>
        </w:rPr>
        <w:t xml:space="preserve"> obezbjeđuju tzv. </w:t>
      </w:r>
      <w:r w:rsidR="00D4755D" w:rsidRPr="00D4755D">
        <w:rPr>
          <w:rFonts w:ascii="Arial" w:hAnsi="Arial" w:cs="Arial"/>
          <w:i/>
          <w:sz w:val="22"/>
          <w:szCs w:val="22"/>
        </w:rPr>
        <w:t xml:space="preserve">policy </w:t>
      </w:r>
      <w:r w:rsidR="00D4755D">
        <w:rPr>
          <w:rFonts w:ascii="Arial" w:hAnsi="Arial" w:cs="Arial"/>
          <w:sz w:val="22"/>
          <w:szCs w:val="22"/>
        </w:rPr>
        <w:t>savjete i smjernice za u</w:t>
      </w:r>
      <w:r w:rsidR="004C3FEB">
        <w:rPr>
          <w:rFonts w:ascii="Arial" w:hAnsi="Arial" w:cs="Arial"/>
          <w:sz w:val="22"/>
          <w:szCs w:val="22"/>
        </w:rPr>
        <w:t xml:space="preserve">napređenje regulatornog okvira; </w:t>
      </w:r>
      <w:r w:rsidR="00D4755D">
        <w:rPr>
          <w:rFonts w:ascii="Arial" w:hAnsi="Arial" w:cs="Arial"/>
          <w:sz w:val="22"/>
          <w:szCs w:val="22"/>
        </w:rPr>
        <w:t>pruža</w:t>
      </w:r>
      <w:r w:rsidR="004C3FEB">
        <w:rPr>
          <w:rFonts w:ascii="Arial" w:hAnsi="Arial" w:cs="Arial"/>
          <w:sz w:val="22"/>
          <w:szCs w:val="22"/>
        </w:rPr>
        <w:t>ju</w:t>
      </w:r>
      <w:r w:rsidR="00D4755D">
        <w:rPr>
          <w:rFonts w:ascii="Arial" w:hAnsi="Arial" w:cs="Arial"/>
          <w:sz w:val="22"/>
          <w:szCs w:val="22"/>
        </w:rPr>
        <w:t xml:space="preserve"> ekspertsku pomoć državni</w:t>
      </w:r>
      <w:r w:rsidR="004C3FEB">
        <w:rPr>
          <w:rFonts w:ascii="Arial" w:hAnsi="Arial" w:cs="Arial"/>
          <w:sz w:val="22"/>
          <w:szCs w:val="22"/>
        </w:rPr>
        <w:t xml:space="preserve">m organima u pripremi projekata i odobravaju ih; </w:t>
      </w:r>
      <w:r w:rsidR="00096CD6">
        <w:rPr>
          <w:rFonts w:ascii="Arial" w:hAnsi="Arial" w:cs="Arial"/>
          <w:sz w:val="22"/>
          <w:szCs w:val="22"/>
        </w:rPr>
        <w:t xml:space="preserve">vode evidenciju zaključenih ugovora, itd. </w:t>
      </w:r>
    </w:p>
    <w:p w14:paraId="3976E99D" w14:textId="25B501ED" w:rsidR="0021278C" w:rsidRPr="000A4607" w:rsidRDefault="00240002"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Hrvatska je 2012. </w:t>
      </w:r>
      <w:r w:rsidR="003C25DF" w:rsidRPr="000A4607">
        <w:rPr>
          <w:rFonts w:ascii="Arial" w:hAnsi="Arial" w:cs="Arial"/>
          <w:sz w:val="22"/>
          <w:szCs w:val="22"/>
          <w:lang w:val="en-GB"/>
        </w:rPr>
        <w:t xml:space="preserve">godine </w:t>
      </w:r>
      <w:r w:rsidRPr="000A4607">
        <w:rPr>
          <w:rFonts w:ascii="Arial" w:hAnsi="Arial" w:cs="Arial"/>
          <w:sz w:val="22"/>
          <w:szCs w:val="22"/>
          <w:lang w:val="en-GB"/>
        </w:rPr>
        <w:t xml:space="preserve">uspostavila Agenciju za javno-privatno partnerstvo </w:t>
      </w:r>
      <w:r w:rsidR="007F5266" w:rsidRPr="000A4607">
        <w:rPr>
          <w:rFonts w:ascii="Arial" w:hAnsi="Arial" w:cs="Arial"/>
          <w:sz w:val="22"/>
          <w:szCs w:val="22"/>
          <w:lang w:val="en-GB"/>
        </w:rPr>
        <w:t>koj</w:t>
      </w:r>
      <w:r w:rsidR="008C1798" w:rsidRPr="000A4607">
        <w:rPr>
          <w:rFonts w:ascii="Arial" w:hAnsi="Arial" w:cs="Arial"/>
          <w:sz w:val="22"/>
          <w:szCs w:val="22"/>
          <w:lang w:val="en-GB"/>
        </w:rPr>
        <w:t>a odobrava predloge JPP projekata</w:t>
      </w:r>
      <w:r w:rsidR="00041AC8" w:rsidRPr="000A4607">
        <w:rPr>
          <w:rFonts w:ascii="Arial" w:hAnsi="Arial" w:cs="Arial"/>
          <w:sz w:val="22"/>
          <w:szCs w:val="22"/>
          <w:lang w:val="en-GB"/>
        </w:rPr>
        <w:t xml:space="preserve"> (uz prethodnu saglasnost Ministarstva finansija)</w:t>
      </w:r>
      <w:r w:rsidR="007F5266" w:rsidRPr="000A4607">
        <w:rPr>
          <w:rFonts w:ascii="Arial" w:hAnsi="Arial" w:cs="Arial"/>
          <w:sz w:val="22"/>
          <w:szCs w:val="22"/>
          <w:lang w:val="en-GB"/>
        </w:rPr>
        <w:t xml:space="preserve">, </w:t>
      </w:r>
      <w:r w:rsidR="00041AC8" w:rsidRPr="000A4607">
        <w:rPr>
          <w:rFonts w:ascii="Arial" w:hAnsi="Arial" w:cs="Arial"/>
          <w:sz w:val="22"/>
          <w:szCs w:val="22"/>
          <w:lang w:val="en-GB"/>
        </w:rPr>
        <w:t>vodi registar ugovora</w:t>
      </w:r>
      <w:r w:rsidR="00925108" w:rsidRPr="000A4607">
        <w:rPr>
          <w:rFonts w:ascii="Arial" w:hAnsi="Arial" w:cs="Arial"/>
          <w:sz w:val="22"/>
          <w:szCs w:val="22"/>
          <w:lang w:val="en-GB"/>
        </w:rPr>
        <w:t xml:space="preserve"> i</w:t>
      </w:r>
      <w:r w:rsidR="00743875" w:rsidRPr="000A4607">
        <w:rPr>
          <w:rFonts w:ascii="Arial" w:hAnsi="Arial" w:cs="Arial"/>
          <w:sz w:val="22"/>
          <w:szCs w:val="22"/>
          <w:lang w:val="en-GB"/>
        </w:rPr>
        <w:t xml:space="preserve"> </w:t>
      </w:r>
      <w:r w:rsidR="00416E09" w:rsidRPr="000A4607">
        <w:rPr>
          <w:rFonts w:ascii="Arial" w:hAnsi="Arial" w:cs="Arial"/>
          <w:sz w:val="22"/>
          <w:szCs w:val="22"/>
          <w:lang w:val="en-GB"/>
        </w:rPr>
        <w:t>prati sp</w:t>
      </w:r>
      <w:r w:rsidR="00377631" w:rsidRPr="000A4607">
        <w:rPr>
          <w:rFonts w:ascii="Arial" w:hAnsi="Arial" w:cs="Arial"/>
          <w:sz w:val="22"/>
          <w:szCs w:val="22"/>
          <w:lang w:val="en-GB"/>
        </w:rPr>
        <w:t>rovođenje projekata</w:t>
      </w:r>
      <w:r w:rsidR="00925108" w:rsidRPr="000A4607">
        <w:rPr>
          <w:rFonts w:ascii="Arial" w:hAnsi="Arial" w:cs="Arial"/>
          <w:sz w:val="22"/>
          <w:szCs w:val="22"/>
          <w:lang w:val="en-GB"/>
        </w:rPr>
        <w:t xml:space="preserve">. </w:t>
      </w:r>
      <w:r w:rsidR="0021278C" w:rsidRPr="000A4607">
        <w:rPr>
          <w:rStyle w:val="apple-converted-space"/>
          <w:rFonts w:ascii="Arial" w:hAnsi="Arial" w:cs="Arial"/>
          <w:color w:val="000000"/>
          <w:sz w:val="22"/>
          <w:szCs w:val="22"/>
          <w:lang w:val="en-GB"/>
        </w:rPr>
        <w:t xml:space="preserve">Upravno vijeće Agencije imenuje i razrješava Vlada, a čini ga predsjednik potpredsjednik Vlade i četiri člana, odnosno ministri za </w:t>
      </w:r>
      <w:r w:rsidR="0065274B">
        <w:rPr>
          <w:rStyle w:val="apple-converted-space"/>
          <w:rFonts w:ascii="Arial" w:hAnsi="Arial" w:cs="Arial"/>
          <w:color w:val="000000"/>
          <w:sz w:val="22"/>
          <w:szCs w:val="22"/>
          <w:lang w:val="en-GB"/>
        </w:rPr>
        <w:t>ekonomiju, f</w:t>
      </w:r>
      <w:r w:rsidR="0021278C" w:rsidRPr="000A4607">
        <w:rPr>
          <w:rStyle w:val="apple-converted-space"/>
          <w:rFonts w:ascii="Arial" w:hAnsi="Arial" w:cs="Arial"/>
          <w:color w:val="000000"/>
          <w:sz w:val="22"/>
          <w:szCs w:val="22"/>
          <w:lang w:val="en-GB"/>
        </w:rPr>
        <w:t>inansije, g</w:t>
      </w:r>
      <w:r w:rsidR="0065274B">
        <w:rPr>
          <w:rStyle w:val="apple-converted-space"/>
          <w:rFonts w:ascii="Arial" w:hAnsi="Arial" w:cs="Arial"/>
          <w:color w:val="000000"/>
          <w:sz w:val="22"/>
          <w:szCs w:val="22"/>
          <w:lang w:val="en-GB"/>
        </w:rPr>
        <w:t xml:space="preserve">rađevinu </w:t>
      </w:r>
      <w:r w:rsidR="0021278C" w:rsidRPr="000A4607">
        <w:rPr>
          <w:rStyle w:val="apple-converted-space"/>
          <w:rFonts w:ascii="Arial" w:hAnsi="Arial" w:cs="Arial"/>
          <w:color w:val="000000"/>
          <w:sz w:val="22"/>
          <w:szCs w:val="22"/>
          <w:lang w:val="en-GB"/>
        </w:rPr>
        <w:t>i pravosuđe. Predsjednik Upravnog vijeća je potpredsjednik Vlade. Radom Agencije upravlja direktor, koji ima zamjenika i 4 savjetnika za: pravne, tehničke i finansijske aspekte, kao i za međunarodnu saradnju.</w:t>
      </w:r>
      <w:r w:rsidR="0021278C" w:rsidRPr="000A4607">
        <w:rPr>
          <w:rStyle w:val="apple-converted-space"/>
          <w:rFonts w:ascii="Arial" w:hAnsi="Arial" w:cs="Arial"/>
          <w:color w:val="000000"/>
          <w:sz w:val="18"/>
          <w:szCs w:val="18"/>
          <w:lang w:val="en-GB"/>
        </w:rPr>
        <w:t xml:space="preserve"> </w:t>
      </w:r>
      <w:r w:rsidR="00925108" w:rsidRPr="000A4607">
        <w:rPr>
          <w:rFonts w:ascii="Arial" w:hAnsi="Arial" w:cs="Arial"/>
          <w:sz w:val="22"/>
          <w:szCs w:val="22"/>
          <w:lang w:val="en-GB"/>
        </w:rPr>
        <w:t>Pored Agencije, u Hrvatskoj postoji i Centar za praćenje poslovanja energetskog sektora i investicija (CEI) koji u organizacionoj strukturi ima i sektor</w:t>
      </w:r>
      <w:r w:rsidR="0021278C" w:rsidRPr="000A4607">
        <w:rPr>
          <w:rFonts w:ascii="Arial" w:hAnsi="Arial" w:cs="Arial"/>
          <w:sz w:val="22"/>
          <w:szCs w:val="22"/>
          <w:lang w:val="en-GB"/>
        </w:rPr>
        <w:t xml:space="preserve"> za JPP</w:t>
      </w:r>
      <w:r w:rsidR="00925108" w:rsidRPr="000A4607">
        <w:rPr>
          <w:rFonts w:ascii="Arial" w:hAnsi="Arial" w:cs="Arial"/>
          <w:sz w:val="22"/>
          <w:szCs w:val="22"/>
          <w:lang w:val="en-GB"/>
        </w:rPr>
        <w:t xml:space="preserve"> zadužen</w:t>
      </w:r>
      <w:r w:rsidR="0021278C" w:rsidRPr="000A4607">
        <w:rPr>
          <w:rFonts w:ascii="Arial" w:hAnsi="Arial" w:cs="Arial"/>
          <w:sz w:val="22"/>
          <w:szCs w:val="22"/>
          <w:lang w:val="en-GB"/>
        </w:rPr>
        <w:t>, između ostalog,</w:t>
      </w:r>
      <w:r w:rsidR="00925108" w:rsidRPr="000A4607">
        <w:rPr>
          <w:rFonts w:ascii="Arial" w:hAnsi="Arial" w:cs="Arial"/>
          <w:sz w:val="22"/>
          <w:szCs w:val="22"/>
          <w:lang w:val="en-GB"/>
        </w:rPr>
        <w:t xml:space="preserve"> za stručnu pomoć u izradi dokumentacije za izbor privatnog partnera u javnom nadmetanju.</w:t>
      </w:r>
      <w:r w:rsidR="00925108" w:rsidRPr="000A4607">
        <w:rPr>
          <w:rStyle w:val="FootnoteReference"/>
          <w:rFonts w:ascii="Arial" w:hAnsi="Arial" w:cs="Arial"/>
          <w:sz w:val="22"/>
          <w:szCs w:val="22"/>
          <w:lang w:val="en-GB"/>
        </w:rPr>
        <w:footnoteReference w:id="32"/>
      </w:r>
      <w:r w:rsidR="00642E2B" w:rsidRPr="000A4607">
        <w:rPr>
          <w:rFonts w:ascii="Arial" w:hAnsi="Arial" w:cs="Arial"/>
          <w:sz w:val="22"/>
          <w:szCs w:val="22"/>
          <w:lang w:val="en-GB"/>
        </w:rPr>
        <w:t xml:space="preserve"> </w:t>
      </w:r>
    </w:p>
    <w:p w14:paraId="401E9DF8" w14:textId="281451BE" w:rsidR="005E4AEA" w:rsidRPr="000A4607" w:rsidRDefault="00642E2B" w:rsidP="0021278C">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U Srbiji je Zakonom</w:t>
      </w:r>
      <w:r w:rsidR="0021278C" w:rsidRPr="000A4607">
        <w:rPr>
          <w:rFonts w:ascii="Arial" w:hAnsi="Arial" w:cs="Arial"/>
          <w:sz w:val="22"/>
          <w:szCs w:val="22"/>
          <w:lang w:val="en-GB"/>
        </w:rPr>
        <w:t xml:space="preserve"> o javno-pri</w:t>
      </w:r>
      <w:r w:rsidR="008759A1">
        <w:rPr>
          <w:rFonts w:ascii="Arial" w:hAnsi="Arial" w:cs="Arial"/>
          <w:sz w:val="22"/>
          <w:szCs w:val="22"/>
        </w:rPr>
        <w:t>va</w:t>
      </w:r>
      <w:r w:rsidR="0021278C" w:rsidRPr="000A4607">
        <w:rPr>
          <w:rFonts w:ascii="Arial" w:hAnsi="Arial" w:cs="Arial"/>
          <w:sz w:val="22"/>
          <w:szCs w:val="22"/>
          <w:lang w:val="en-GB"/>
        </w:rPr>
        <w:t>t</w:t>
      </w:r>
      <w:r w:rsidR="008759A1">
        <w:rPr>
          <w:rFonts w:ascii="Arial" w:hAnsi="Arial" w:cs="Arial"/>
          <w:sz w:val="22"/>
          <w:szCs w:val="22"/>
        </w:rPr>
        <w:t>n</w:t>
      </w:r>
      <w:r w:rsidR="0021278C" w:rsidRPr="000A4607">
        <w:rPr>
          <w:rFonts w:ascii="Arial" w:hAnsi="Arial" w:cs="Arial"/>
          <w:sz w:val="22"/>
          <w:szCs w:val="22"/>
          <w:lang w:val="en-GB"/>
        </w:rPr>
        <w:t>om partnerstvu i koncesijama</w:t>
      </w:r>
      <w:r w:rsidRPr="000A4607">
        <w:rPr>
          <w:rFonts w:ascii="Arial" w:hAnsi="Arial" w:cs="Arial"/>
          <w:sz w:val="22"/>
          <w:szCs w:val="22"/>
          <w:lang w:val="en-GB"/>
        </w:rPr>
        <w:t xml:space="preserve"> formirana Komisija za javno-privatno partnerstvo koja obezbjeđuje </w:t>
      </w:r>
      <w:r w:rsidR="005E4AEA" w:rsidRPr="000A4607">
        <w:rPr>
          <w:rFonts w:ascii="Arial" w:hAnsi="Arial" w:cs="Arial"/>
          <w:sz w:val="22"/>
          <w:szCs w:val="22"/>
          <w:lang w:val="en-GB"/>
        </w:rPr>
        <w:t>st</w:t>
      </w:r>
      <w:r w:rsidR="008B0319" w:rsidRPr="000A4607">
        <w:rPr>
          <w:rFonts w:ascii="Arial" w:hAnsi="Arial" w:cs="Arial"/>
          <w:sz w:val="22"/>
          <w:szCs w:val="22"/>
          <w:lang w:val="en-GB"/>
        </w:rPr>
        <w:t>ručnu pomoć pri realizaciji JPP</w:t>
      </w:r>
      <w:r w:rsidR="00B4318E" w:rsidRPr="000A4607">
        <w:rPr>
          <w:rFonts w:ascii="Arial" w:hAnsi="Arial" w:cs="Arial"/>
          <w:sz w:val="22"/>
          <w:szCs w:val="22"/>
          <w:lang w:val="en-GB"/>
        </w:rPr>
        <w:t xml:space="preserve">, odnosno pomaže razvoj i pripremu predloga JPP. </w:t>
      </w:r>
      <w:r w:rsidR="0021278C" w:rsidRPr="000A4607">
        <w:rPr>
          <w:rFonts w:ascii="Arial" w:hAnsi="Arial" w:cs="Arial"/>
          <w:sz w:val="22"/>
          <w:szCs w:val="22"/>
          <w:lang w:val="en-GB"/>
        </w:rPr>
        <w:t>Komisiju, koja ima devet članova, imenuje Vlada na predlog predsjednika Vlade. Na njenom čelu je predstavnik ministarstva nadležnog za poslove ekonomije i regionalnog razvoja, a članovi su ministarstava nadležnih za poslove finansija; infrastrukture, rudarstva, komunalnih delatnosti, zaštite životne sredine, autonomne pokrajine i grada Beograda.</w:t>
      </w:r>
      <w:r w:rsidR="0021278C" w:rsidRPr="000A4607">
        <w:rPr>
          <w:rStyle w:val="FootnoteReference"/>
          <w:rFonts w:ascii="Arial" w:hAnsi="Arial" w:cs="Arial"/>
          <w:sz w:val="22"/>
          <w:szCs w:val="22"/>
          <w:lang w:val="en-GB"/>
        </w:rPr>
        <w:footnoteReference w:id="33"/>
      </w:r>
    </w:p>
    <w:p w14:paraId="437CC936" w14:textId="77777777" w:rsidR="0035481D" w:rsidRDefault="00104233" w:rsidP="008B43B8">
      <w:pPr>
        <w:widowControl w:val="0"/>
        <w:autoSpaceDE w:val="0"/>
        <w:autoSpaceDN w:val="0"/>
        <w:adjustRightInd w:val="0"/>
        <w:spacing w:after="240"/>
        <w:jc w:val="both"/>
        <w:rPr>
          <w:rFonts w:ascii="Arial" w:hAnsi="Arial" w:cs="Arial"/>
          <w:sz w:val="22"/>
          <w:szCs w:val="22"/>
        </w:rPr>
      </w:pPr>
      <w:r w:rsidRPr="000A4607">
        <w:rPr>
          <w:rFonts w:ascii="Arial" w:hAnsi="Arial" w:cs="Arial"/>
          <w:sz w:val="22"/>
          <w:szCs w:val="22"/>
          <w:lang w:val="en-GB"/>
        </w:rPr>
        <w:t xml:space="preserve">Moldavija ima jedinicu za JPP u okviru Agencije za javnu imovinu, a pod okriljem Ministarstva ekonomije, </w:t>
      </w:r>
      <w:r w:rsidR="00A11708" w:rsidRPr="000A4607">
        <w:rPr>
          <w:rFonts w:ascii="Arial" w:hAnsi="Arial" w:cs="Arial"/>
          <w:sz w:val="22"/>
          <w:szCs w:val="22"/>
          <w:lang w:val="en-GB"/>
        </w:rPr>
        <w:t>d</w:t>
      </w:r>
      <w:r w:rsidR="003556BB" w:rsidRPr="000A4607">
        <w:rPr>
          <w:rFonts w:ascii="Arial" w:hAnsi="Arial" w:cs="Arial"/>
          <w:sz w:val="22"/>
          <w:szCs w:val="22"/>
          <w:lang w:val="en-GB"/>
        </w:rPr>
        <w:t>ok</w:t>
      </w:r>
      <w:r w:rsidR="00BD33C2" w:rsidRPr="000A4607">
        <w:rPr>
          <w:rFonts w:ascii="Arial" w:hAnsi="Arial" w:cs="Arial"/>
          <w:sz w:val="22"/>
          <w:szCs w:val="22"/>
          <w:lang w:val="en-GB"/>
        </w:rPr>
        <w:t xml:space="preserve"> </w:t>
      </w:r>
      <w:r w:rsidR="00112D81" w:rsidRPr="000A4607">
        <w:rPr>
          <w:rFonts w:ascii="Arial" w:hAnsi="Arial" w:cs="Arial"/>
          <w:sz w:val="22"/>
          <w:szCs w:val="22"/>
          <w:lang w:val="en-GB"/>
        </w:rPr>
        <w:t>Bosna i Hercegovina, Letonija</w:t>
      </w:r>
      <w:r w:rsidR="00A11708" w:rsidRPr="000A4607">
        <w:rPr>
          <w:rFonts w:ascii="Arial" w:hAnsi="Arial" w:cs="Arial"/>
          <w:sz w:val="22"/>
          <w:szCs w:val="22"/>
          <w:lang w:val="en-GB"/>
        </w:rPr>
        <w:t xml:space="preserve"> i</w:t>
      </w:r>
      <w:r w:rsidR="00BD33C2" w:rsidRPr="000A4607">
        <w:rPr>
          <w:rFonts w:ascii="Arial" w:hAnsi="Arial" w:cs="Arial"/>
          <w:sz w:val="22"/>
          <w:szCs w:val="22"/>
          <w:lang w:val="en-GB"/>
        </w:rPr>
        <w:t xml:space="preserve"> Slovenija, </w:t>
      </w:r>
      <w:r w:rsidR="003556BB" w:rsidRPr="000A4607">
        <w:rPr>
          <w:rFonts w:ascii="Arial" w:hAnsi="Arial" w:cs="Arial"/>
          <w:sz w:val="22"/>
          <w:szCs w:val="22"/>
          <w:lang w:val="en-GB"/>
        </w:rPr>
        <w:t>nemaju posebne jedinice/institucije koje su specijalizovane za JPP</w:t>
      </w:r>
      <w:r w:rsidR="00BD33C2" w:rsidRPr="000A4607">
        <w:rPr>
          <w:rFonts w:ascii="Arial" w:hAnsi="Arial" w:cs="Arial"/>
          <w:sz w:val="22"/>
          <w:szCs w:val="22"/>
          <w:lang w:val="en-GB"/>
        </w:rPr>
        <w:t xml:space="preserve"> već je koordinacija </w:t>
      </w:r>
      <w:r w:rsidR="00B45D8D" w:rsidRPr="000A4607">
        <w:rPr>
          <w:rFonts w:ascii="Arial" w:hAnsi="Arial" w:cs="Arial"/>
          <w:sz w:val="22"/>
          <w:szCs w:val="22"/>
          <w:lang w:val="en-GB"/>
        </w:rPr>
        <w:t>ovo</w:t>
      </w:r>
      <w:r w:rsidR="00B45D8D" w:rsidRPr="002665C3">
        <w:rPr>
          <w:rFonts w:ascii="Arial" w:hAnsi="Arial" w:cs="Arial"/>
          <w:sz w:val="22"/>
          <w:szCs w:val="22"/>
          <w:lang w:val="en-GB"/>
        </w:rPr>
        <w:t>m oblašću u nadl</w:t>
      </w:r>
      <w:r w:rsidR="002665C3">
        <w:rPr>
          <w:rFonts w:ascii="Arial" w:hAnsi="Arial" w:cs="Arial"/>
          <w:sz w:val="22"/>
          <w:szCs w:val="22"/>
        </w:rPr>
        <w:t xml:space="preserve">ežnosti ministarstava </w:t>
      </w:r>
      <w:r w:rsidR="007215C9" w:rsidRPr="002665C3">
        <w:rPr>
          <w:rFonts w:ascii="Arial" w:hAnsi="Arial" w:cs="Arial"/>
          <w:sz w:val="22"/>
          <w:szCs w:val="22"/>
          <w:lang w:val="en-GB"/>
        </w:rPr>
        <w:t>odgovornih</w:t>
      </w:r>
      <w:r w:rsidR="00B45D8D" w:rsidRPr="002665C3">
        <w:rPr>
          <w:rFonts w:ascii="Arial" w:hAnsi="Arial" w:cs="Arial"/>
          <w:sz w:val="22"/>
          <w:szCs w:val="22"/>
          <w:lang w:val="en-GB"/>
        </w:rPr>
        <w:t xml:space="preserve"> z</w:t>
      </w:r>
      <w:r w:rsidR="002665C3">
        <w:rPr>
          <w:rFonts w:ascii="Arial" w:hAnsi="Arial" w:cs="Arial"/>
          <w:sz w:val="22"/>
          <w:szCs w:val="22"/>
        </w:rPr>
        <w:t>a oblasti finansija i ekonomije</w:t>
      </w:r>
      <w:r w:rsidR="00B45D8D" w:rsidRPr="002665C3">
        <w:rPr>
          <w:rFonts w:ascii="Arial" w:hAnsi="Arial" w:cs="Arial"/>
          <w:sz w:val="22"/>
          <w:szCs w:val="22"/>
          <w:lang w:val="en-GB"/>
        </w:rPr>
        <w:t xml:space="preserve">. </w:t>
      </w:r>
      <w:r w:rsidR="002665C3" w:rsidRPr="002665C3">
        <w:rPr>
          <w:rFonts w:ascii="Arial" w:hAnsi="Arial" w:cs="Arial"/>
          <w:sz w:val="22"/>
          <w:szCs w:val="22"/>
        </w:rPr>
        <w:t>Slovačka je imala jedinicu za JPP unutar Ministarstva finansija, ali je ukinuta 2010. godine.</w:t>
      </w:r>
      <w:r w:rsidR="004719E9">
        <w:rPr>
          <w:rFonts w:ascii="Arial" w:hAnsi="Arial" w:cs="Arial"/>
          <w:sz w:val="22"/>
          <w:szCs w:val="22"/>
        </w:rPr>
        <w:t xml:space="preserve"> Pozicioniranje jedinice za JPP u okviru ministarstva odgovornog za poslove finansija m</w:t>
      </w:r>
      <w:r w:rsidR="006C1009">
        <w:rPr>
          <w:rFonts w:ascii="Arial" w:hAnsi="Arial" w:cs="Arial"/>
          <w:sz w:val="22"/>
          <w:szCs w:val="22"/>
        </w:rPr>
        <w:t>ože biti dobro zbog direktne veze s ostalim rashodima, ulaganjima i kapitalnim i</w:t>
      </w:r>
      <w:r w:rsidR="001D129C">
        <w:rPr>
          <w:rFonts w:ascii="Arial" w:hAnsi="Arial" w:cs="Arial"/>
          <w:sz w:val="22"/>
          <w:szCs w:val="22"/>
        </w:rPr>
        <w:t>n</w:t>
      </w:r>
      <w:r w:rsidR="006C1009">
        <w:rPr>
          <w:rFonts w:ascii="Arial" w:hAnsi="Arial" w:cs="Arial"/>
          <w:sz w:val="22"/>
          <w:szCs w:val="22"/>
        </w:rPr>
        <w:t>vesticija</w:t>
      </w:r>
      <w:r w:rsidR="00A7225C">
        <w:rPr>
          <w:rFonts w:ascii="Arial" w:hAnsi="Arial" w:cs="Arial"/>
          <w:sz w:val="22"/>
          <w:szCs w:val="22"/>
        </w:rPr>
        <w:t>ma,</w:t>
      </w:r>
      <w:r w:rsidR="006C1009">
        <w:rPr>
          <w:rFonts w:ascii="Arial" w:hAnsi="Arial" w:cs="Arial"/>
          <w:sz w:val="22"/>
          <w:szCs w:val="22"/>
        </w:rPr>
        <w:t xml:space="preserve"> ali i loše zbog mogućnosti </w:t>
      </w:r>
      <w:r w:rsidR="00A7225C">
        <w:rPr>
          <w:rFonts w:ascii="Arial" w:hAnsi="Arial" w:cs="Arial"/>
          <w:sz w:val="22"/>
          <w:szCs w:val="22"/>
        </w:rPr>
        <w:t xml:space="preserve">da političke preferencije </w:t>
      </w:r>
      <w:r w:rsidR="0035481D">
        <w:rPr>
          <w:rFonts w:ascii="Arial" w:hAnsi="Arial" w:cs="Arial"/>
          <w:sz w:val="22"/>
          <w:szCs w:val="22"/>
        </w:rPr>
        <w:t>utiču</w:t>
      </w:r>
      <w:r w:rsidR="00545D74">
        <w:rPr>
          <w:rFonts w:ascii="Arial" w:hAnsi="Arial" w:cs="Arial"/>
          <w:sz w:val="22"/>
          <w:szCs w:val="22"/>
        </w:rPr>
        <w:t xml:space="preserve"> </w:t>
      </w:r>
      <w:r w:rsidR="0035481D">
        <w:rPr>
          <w:rFonts w:ascii="Arial" w:hAnsi="Arial" w:cs="Arial"/>
          <w:sz w:val="22"/>
          <w:szCs w:val="22"/>
        </w:rPr>
        <w:t>na evaluaciju</w:t>
      </w:r>
      <w:r w:rsidR="00545D74">
        <w:rPr>
          <w:rFonts w:ascii="Arial" w:hAnsi="Arial" w:cs="Arial"/>
          <w:sz w:val="22"/>
          <w:szCs w:val="22"/>
        </w:rPr>
        <w:t xml:space="preserve"> JPP projekata</w:t>
      </w:r>
      <w:r w:rsidR="0035481D">
        <w:rPr>
          <w:rFonts w:ascii="Arial" w:hAnsi="Arial" w:cs="Arial"/>
          <w:sz w:val="22"/>
          <w:szCs w:val="22"/>
        </w:rPr>
        <w:t>.</w:t>
      </w:r>
      <w:r w:rsidR="0035481D">
        <w:rPr>
          <w:rStyle w:val="FootnoteReference"/>
          <w:rFonts w:ascii="Arial" w:hAnsi="Arial" w:cs="Arial"/>
          <w:sz w:val="22"/>
          <w:szCs w:val="22"/>
        </w:rPr>
        <w:footnoteReference w:id="34"/>
      </w:r>
    </w:p>
    <w:p w14:paraId="0BFA9957" w14:textId="00DB374A" w:rsidR="007358AC" w:rsidRPr="000A4607" w:rsidRDefault="00733843" w:rsidP="005B2AE4">
      <w:pPr>
        <w:widowControl w:val="0"/>
        <w:tabs>
          <w:tab w:val="left" w:pos="2800"/>
        </w:tabs>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Zakoni o JPP u ovim zemljama regulišu i uslove za imenovanje lica za rad u ovim tijelima. Tako, npr, u Srbiji se član Komisije bira na period od pet godina uz mogućnost jednog re-izbora a mora posjedovati stručno znanje iz oblasti JPP, javnih nabavki i koncesija ili prava Evropske unije. U Hrvatskoj se direktor bira na period od 4 godine, uz mogućnost ponovnog imenovanja, a mora imati </w:t>
      </w:r>
      <w:r w:rsidR="00335615" w:rsidRPr="000A4607">
        <w:rPr>
          <w:rFonts w:ascii="Arial" w:hAnsi="Arial" w:cs="Arial"/>
          <w:sz w:val="22"/>
          <w:szCs w:val="22"/>
          <w:lang w:val="en-GB"/>
        </w:rPr>
        <w:t xml:space="preserve">stečeno znanje iz pravnih, ekonomskih </w:t>
      </w:r>
      <w:r w:rsidR="005B2AE4" w:rsidRPr="000A4607">
        <w:rPr>
          <w:rFonts w:ascii="Arial" w:hAnsi="Arial" w:cs="Arial"/>
          <w:sz w:val="22"/>
          <w:szCs w:val="22"/>
          <w:lang w:val="en-GB"/>
        </w:rPr>
        <w:t>ili tehničkim nauka</w:t>
      </w:r>
      <w:bookmarkStart w:id="1" w:name="str_60"/>
      <w:bookmarkEnd w:id="1"/>
      <w:r w:rsidR="00335615" w:rsidRPr="000A4607">
        <w:rPr>
          <w:rFonts w:ascii="Arial" w:hAnsi="Arial" w:cs="Arial"/>
          <w:sz w:val="22"/>
          <w:szCs w:val="22"/>
          <w:lang w:val="en-GB"/>
        </w:rPr>
        <w:t>, uz deset godina rada u struci</w:t>
      </w:r>
      <w:r w:rsidR="005B2AE4" w:rsidRPr="000A4607">
        <w:rPr>
          <w:rFonts w:ascii="Arial" w:hAnsi="Arial" w:cs="Arial"/>
          <w:sz w:val="22"/>
          <w:szCs w:val="22"/>
          <w:lang w:val="en-GB"/>
        </w:rPr>
        <w:t>.</w:t>
      </w:r>
      <w:r w:rsidR="00806171" w:rsidRPr="000A4607">
        <w:rPr>
          <w:rStyle w:val="FootnoteReference"/>
          <w:rFonts w:ascii="Arial" w:hAnsi="Arial" w:cs="Arial"/>
          <w:color w:val="000000"/>
          <w:sz w:val="22"/>
          <w:szCs w:val="22"/>
          <w:lang w:val="en-GB"/>
        </w:rPr>
        <w:footnoteReference w:id="35"/>
      </w:r>
    </w:p>
    <w:p w14:paraId="756D1A65" w14:textId="6F476DF2" w:rsidR="00E729C0" w:rsidRPr="000A4607" w:rsidRDefault="00E729C0" w:rsidP="005B2AE4">
      <w:pPr>
        <w:widowControl w:val="0"/>
        <w:tabs>
          <w:tab w:val="left" w:pos="2800"/>
        </w:tabs>
        <w:autoSpaceDE w:val="0"/>
        <w:autoSpaceDN w:val="0"/>
        <w:adjustRightInd w:val="0"/>
        <w:spacing w:after="240" w:line="276" w:lineRule="auto"/>
        <w:jc w:val="both"/>
        <w:rPr>
          <w:rFonts w:ascii="Arial" w:hAnsi="Arial" w:cs="Arial"/>
          <w:b/>
          <w:color w:val="4F81BD" w:themeColor="accent1"/>
          <w:sz w:val="22"/>
          <w:szCs w:val="22"/>
          <w:lang w:val="en-GB"/>
        </w:rPr>
      </w:pPr>
      <w:r w:rsidRPr="000A4607">
        <w:rPr>
          <w:rFonts w:ascii="Arial" w:hAnsi="Arial" w:cs="Arial"/>
          <w:b/>
          <w:color w:val="4F81BD" w:themeColor="accent1"/>
          <w:sz w:val="22"/>
          <w:szCs w:val="22"/>
          <w:lang w:val="en-GB"/>
        </w:rPr>
        <w:t xml:space="preserve">Unaprijeđen regulatorni okvir </w:t>
      </w:r>
      <w:r w:rsidR="00B97BD7" w:rsidRPr="000A4607">
        <w:rPr>
          <w:rFonts w:ascii="Arial" w:hAnsi="Arial" w:cs="Arial"/>
          <w:b/>
          <w:color w:val="4F81BD" w:themeColor="accent1"/>
          <w:sz w:val="22"/>
          <w:szCs w:val="22"/>
          <w:lang w:val="en-GB"/>
        </w:rPr>
        <w:t xml:space="preserve">za JPP </w:t>
      </w:r>
      <w:r w:rsidRPr="000A4607">
        <w:rPr>
          <w:rFonts w:ascii="Arial" w:hAnsi="Arial" w:cs="Arial"/>
          <w:b/>
          <w:color w:val="4F81BD" w:themeColor="accent1"/>
          <w:sz w:val="22"/>
          <w:szCs w:val="22"/>
          <w:lang w:val="en-GB"/>
        </w:rPr>
        <w:t>osnov za napredak u praksi?</w:t>
      </w:r>
    </w:p>
    <w:p w14:paraId="0984ABE8" w14:textId="2E341F0D" w:rsidR="000E65D7" w:rsidRPr="000A4607" w:rsidRDefault="00B97BD7" w:rsidP="00D6744D">
      <w:pPr>
        <w:spacing w:line="276" w:lineRule="auto"/>
        <w:jc w:val="both"/>
        <w:rPr>
          <w:rFonts w:ascii="Arial" w:eastAsia="Times New Roman" w:hAnsi="Arial" w:cs="Arial"/>
          <w:i/>
          <w:sz w:val="22"/>
          <w:szCs w:val="22"/>
          <w:lang w:val="en-GB"/>
        </w:rPr>
      </w:pPr>
      <w:r w:rsidRPr="000A4607">
        <w:rPr>
          <w:rFonts w:ascii="Arial" w:hAnsi="Arial" w:cs="Arial"/>
          <w:sz w:val="22"/>
          <w:szCs w:val="22"/>
          <w:lang w:val="en-GB"/>
        </w:rPr>
        <w:t xml:space="preserve">U Hrvatskoj je od 2011. </w:t>
      </w:r>
      <w:r w:rsidR="002A466D" w:rsidRPr="000A4607">
        <w:rPr>
          <w:rFonts w:ascii="Arial" w:hAnsi="Arial" w:cs="Arial"/>
          <w:sz w:val="22"/>
          <w:szCs w:val="22"/>
          <w:lang w:val="en-GB"/>
        </w:rPr>
        <w:t>g</w:t>
      </w:r>
      <w:r w:rsidRPr="000A4607">
        <w:rPr>
          <w:rFonts w:ascii="Arial" w:hAnsi="Arial" w:cs="Arial"/>
          <w:sz w:val="22"/>
          <w:szCs w:val="22"/>
          <w:lang w:val="en-GB"/>
        </w:rPr>
        <w:t>odine</w:t>
      </w:r>
      <w:r w:rsidR="002A466D" w:rsidRPr="000A4607">
        <w:rPr>
          <w:rFonts w:ascii="Arial" w:hAnsi="Arial" w:cs="Arial"/>
          <w:sz w:val="22"/>
          <w:szCs w:val="22"/>
          <w:lang w:val="en-GB"/>
        </w:rPr>
        <w:t xml:space="preserve"> do danas</w:t>
      </w:r>
      <w:r w:rsidRPr="000A4607">
        <w:rPr>
          <w:rFonts w:ascii="Arial" w:hAnsi="Arial" w:cs="Arial"/>
          <w:sz w:val="22"/>
          <w:szCs w:val="22"/>
          <w:lang w:val="en-GB"/>
        </w:rPr>
        <w:t xml:space="preserve"> zaključeno ukupno 14 JPP ugovora,</w:t>
      </w:r>
      <w:r w:rsidR="002A466D" w:rsidRPr="000A4607">
        <w:rPr>
          <w:rStyle w:val="FootnoteReference"/>
          <w:rFonts w:ascii="Arial" w:hAnsi="Arial" w:cs="Arial"/>
          <w:sz w:val="22"/>
          <w:szCs w:val="22"/>
          <w:lang w:val="en-GB"/>
        </w:rPr>
        <w:footnoteReference w:id="36"/>
      </w:r>
      <w:r w:rsidRPr="000A4607">
        <w:rPr>
          <w:rFonts w:ascii="Arial" w:hAnsi="Arial" w:cs="Arial"/>
          <w:sz w:val="22"/>
          <w:szCs w:val="22"/>
          <w:lang w:val="en-GB"/>
        </w:rPr>
        <w:t xml:space="preserve"> dok je u Srbiji tokom prve godine </w:t>
      </w:r>
      <w:r w:rsidR="00154A93" w:rsidRPr="000A4607">
        <w:rPr>
          <w:rFonts w:ascii="Arial" w:hAnsi="Arial" w:cs="Arial"/>
          <w:sz w:val="22"/>
          <w:szCs w:val="22"/>
          <w:lang w:val="en-GB"/>
        </w:rPr>
        <w:t xml:space="preserve">primjene Zakona </w:t>
      </w:r>
      <w:r w:rsidR="002A466D" w:rsidRPr="000A4607">
        <w:rPr>
          <w:rFonts w:ascii="Arial" w:hAnsi="Arial" w:cs="Arial"/>
          <w:sz w:val="22"/>
          <w:szCs w:val="22"/>
          <w:lang w:val="en-GB"/>
        </w:rPr>
        <w:t xml:space="preserve">pripremljen i odobren samo jedan projekat. </w:t>
      </w:r>
      <w:r w:rsidR="00DF3561" w:rsidRPr="000A4607">
        <w:rPr>
          <w:rFonts w:ascii="Arial" w:hAnsi="Arial" w:cs="Arial"/>
          <w:sz w:val="22"/>
          <w:szCs w:val="22"/>
          <w:lang w:val="en-GB"/>
        </w:rPr>
        <w:t>Zaokružen zakonski i institucionalni okvir za JPP nije</w:t>
      </w:r>
      <w:r w:rsidR="00A86001" w:rsidRPr="000A4607">
        <w:rPr>
          <w:rFonts w:ascii="Arial" w:hAnsi="Arial" w:cs="Arial"/>
          <w:sz w:val="22"/>
          <w:szCs w:val="22"/>
          <w:lang w:val="en-GB"/>
        </w:rPr>
        <w:t xml:space="preserve"> garant ekspanzije ovih projekata. </w:t>
      </w:r>
      <w:r w:rsidR="002A466D" w:rsidRPr="000A4607">
        <w:rPr>
          <w:rFonts w:ascii="Arial" w:hAnsi="Arial" w:cs="Arial"/>
          <w:sz w:val="22"/>
          <w:szCs w:val="22"/>
          <w:lang w:val="en-GB"/>
        </w:rPr>
        <w:t>Međutim,</w:t>
      </w:r>
      <w:r w:rsidR="006C2AC6" w:rsidRPr="000A4607">
        <w:rPr>
          <w:rFonts w:ascii="Arial" w:hAnsi="Arial" w:cs="Arial"/>
          <w:sz w:val="22"/>
          <w:szCs w:val="22"/>
          <w:lang w:val="en-GB"/>
        </w:rPr>
        <w:t xml:space="preserve"> jasno definisane procedure suzbijaju prostor za korupciju, stvaraju pogodno tlo za strana ulaganja, motivišu ulaganja javnog sektora u </w:t>
      </w:r>
      <w:r w:rsidR="00D9503A" w:rsidRPr="000A4607">
        <w:rPr>
          <w:rFonts w:ascii="Arial" w:hAnsi="Arial" w:cs="Arial"/>
          <w:sz w:val="22"/>
          <w:szCs w:val="22"/>
          <w:lang w:val="en-GB"/>
        </w:rPr>
        <w:t xml:space="preserve">jačanje kapaciteta. </w:t>
      </w:r>
      <w:r w:rsidR="000E65D7" w:rsidRPr="000A4607">
        <w:rPr>
          <w:rFonts w:ascii="Arial" w:eastAsia="Times New Roman" w:hAnsi="Arial" w:cs="Arial"/>
          <w:color w:val="333333"/>
          <w:sz w:val="22"/>
          <w:szCs w:val="22"/>
          <w:shd w:val="clear" w:color="auto" w:fill="FFFFFF"/>
          <w:lang w:val="en-GB"/>
        </w:rPr>
        <w:t xml:space="preserve">“JPP model nikad nije </w:t>
      </w:r>
      <w:r w:rsidR="00BA1CAE" w:rsidRPr="000A4607">
        <w:rPr>
          <w:rFonts w:ascii="Arial" w:eastAsia="Times New Roman" w:hAnsi="Arial" w:cs="Arial"/>
          <w:color w:val="333333"/>
          <w:sz w:val="22"/>
          <w:szCs w:val="22"/>
          <w:shd w:val="clear" w:color="auto" w:fill="FFFFFF"/>
          <w:lang w:val="en-GB"/>
        </w:rPr>
        <w:t>sam po sebi imperativ,</w:t>
      </w:r>
      <w:r w:rsidR="000E65D7" w:rsidRPr="000A4607">
        <w:rPr>
          <w:rFonts w:ascii="Arial" w:eastAsia="Times New Roman" w:hAnsi="Arial" w:cs="Arial"/>
          <w:color w:val="333333"/>
          <w:sz w:val="22"/>
          <w:szCs w:val="22"/>
          <w:shd w:val="clear" w:color="auto" w:fill="FFFFFF"/>
          <w:lang w:val="en-GB"/>
        </w:rPr>
        <w:t>”</w:t>
      </w:r>
      <w:r w:rsidR="000E65D7" w:rsidRPr="000A4607">
        <w:rPr>
          <w:rStyle w:val="FootnoteReference"/>
          <w:rFonts w:ascii="Arial" w:eastAsia="Times New Roman" w:hAnsi="Arial" w:cs="Arial"/>
          <w:color w:val="333333"/>
          <w:sz w:val="22"/>
          <w:szCs w:val="22"/>
          <w:shd w:val="clear" w:color="auto" w:fill="FFFFFF"/>
          <w:lang w:val="en-GB"/>
        </w:rPr>
        <w:footnoteReference w:id="37"/>
      </w:r>
      <w:r w:rsidR="00BA1CAE" w:rsidRPr="000A4607">
        <w:rPr>
          <w:rFonts w:ascii="Arial" w:hAnsi="Arial" w:cs="Arial"/>
          <w:sz w:val="22"/>
          <w:szCs w:val="22"/>
          <w:lang w:val="en-GB"/>
        </w:rPr>
        <w:t xml:space="preserve"> ali je upravo c</w:t>
      </w:r>
      <w:r w:rsidR="000E65D7" w:rsidRPr="000A4607">
        <w:rPr>
          <w:rFonts w:ascii="Arial" w:hAnsi="Arial" w:cs="Arial"/>
          <w:sz w:val="22"/>
          <w:szCs w:val="22"/>
          <w:lang w:val="en-GB"/>
        </w:rPr>
        <w:t>ilj sveobuhvatnih analiza koje prethode investiranju prezicno sagledavanje da li se ostvaruje veća dodatna vrijednost i ušteda za porezne obveznike od realizacije projekta na tradicionalan način, putem JPP modela ili je</w:t>
      </w:r>
      <w:r w:rsidR="00BA1CAE" w:rsidRPr="000A4607">
        <w:rPr>
          <w:rFonts w:ascii="Arial" w:hAnsi="Arial" w:cs="Arial"/>
          <w:sz w:val="22"/>
          <w:szCs w:val="22"/>
          <w:lang w:val="en-GB"/>
        </w:rPr>
        <w:t xml:space="preserve"> </w:t>
      </w:r>
      <w:r w:rsidR="000E65D7" w:rsidRPr="000A4607">
        <w:rPr>
          <w:rFonts w:ascii="Arial" w:hAnsi="Arial" w:cs="Arial"/>
          <w:sz w:val="22"/>
          <w:szCs w:val="22"/>
          <w:lang w:val="en-GB"/>
        </w:rPr>
        <w:t>najbolje u pot</w:t>
      </w:r>
      <w:r w:rsidR="00DB53BF" w:rsidRPr="000A4607">
        <w:rPr>
          <w:rFonts w:ascii="Arial" w:hAnsi="Arial" w:cs="Arial"/>
          <w:sz w:val="22"/>
          <w:szCs w:val="22"/>
          <w:lang w:val="en-GB"/>
        </w:rPr>
        <w:t xml:space="preserve">punosti privatizovati objekat. </w:t>
      </w:r>
      <w:r w:rsidR="00743720" w:rsidRPr="000A4607">
        <w:rPr>
          <w:rFonts w:ascii="Arial" w:hAnsi="Arial" w:cs="Arial"/>
          <w:sz w:val="22"/>
          <w:szCs w:val="22"/>
          <w:lang w:val="en-GB"/>
        </w:rPr>
        <w:t xml:space="preserve">Međutim, dodatan </w:t>
      </w:r>
      <w:r w:rsidR="00205DC1" w:rsidRPr="000A4607">
        <w:rPr>
          <w:rFonts w:ascii="Arial" w:hAnsi="Arial" w:cs="Arial"/>
          <w:sz w:val="22"/>
          <w:szCs w:val="22"/>
          <w:lang w:val="en-GB"/>
        </w:rPr>
        <w:t xml:space="preserve">argument javnom sektoru u pravcu </w:t>
      </w:r>
      <w:r w:rsidR="00CF0B0F" w:rsidRPr="000A4607">
        <w:rPr>
          <w:rFonts w:ascii="Arial" w:hAnsi="Arial" w:cs="Arial"/>
          <w:sz w:val="22"/>
          <w:szCs w:val="22"/>
          <w:lang w:val="en-GB"/>
        </w:rPr>
        <w:t xml:space="preserve">razmatranja realizovanja projekata po JPP modelu je i </w:t>
      </w:r>
      <w:r w:rsidR="00A86001" w:rsidRPr="000A4607">
        <w:rPr>
          <w:rFonts w:ascii="Arial" w:hAnsi="Arial" w:cs="Arial"/>
          <w:sz w:val="22"/>
          <w:szCs w:val="22"/>
          <w:lang w:val="en-GB"/>
        </w:rPr>
        <w:t xml:space="preserve">taj što usklađen regulatorni okvir </w:t>
      </w:r>
      <w:r w:rsidR="00444B77" w:rsidRPr="000A4607">
        <w:rPr>
          <w:rFonts w:ascii="Arial" w:hAnsi="Arial" w:cs="Arial"/>
          <w:sz w:val="22"/>
          <w:szCs w:val="22"/>
          <w:lang w:val="en-GB"/>
        </w:rPr>
        <w:t>omogućava</w:t>
      </w:r>
      <w:r w:rsidR="0054214F" w:rsidRPr="000A4607">
        <w:rPr>
          <w:rFonts w:ascii="Arial" w:hAnsi="Arial" w:cs="Arial"/>
          <w:sz w:val="22"/>
          <w:szCs w:val="22"/>
          <w:lang w:val="en-GB"/>
        </w:rPr>
        <w:t xml:space="preserve"> </w:t>
      </w:r>
      <w:r w:rsidR="00444B77" w:rsidRPr="000A4607">
        <w:rPr>
          <w:rFonts w:ascii="Arial" w:hAnsi="Arial" w:cs="Arial"/>
          <w:sz w:val="22"/>
          <w:szCs w:val="22"/>
          <w:lang w:val="en-GB"/>
        </w:rPr>
        <w:t xml:space="preserve"> </w:t>
      </w:r>
      <w:r w:rsidR="0054214F" w:rsidRPr="000A4607">
        <w:rPr>
          <w:rFonts w:ascii="Arial" w:hAnsi="Arial" w:cs="Arial"/>
          <w:sz w:val="22"/>
          <w:szCs w:val="22"/>
          <w:lang w:val="en-GB"/>
        </w:rPr>
        <w:t xml:space="preserve">finansiranje uz povoljne kredite međunarodnih investicionih banki, što, opet, vodi konkurentskim uslovima. </w:t>
      </w:r>
    </w:p>
    <w:p w14:paraId="2C572CB0" w14:textId="77777777" w:rsidR="0054214F" w:rsidRPr="000A4607" w:rsidRDefault="0054214F" w:rsidP="0054214F">
      <w:pPr>
        <w:widowControl w:val="0"/>
        <w:autoSpaceDE w:val="0"/>
        <w:autoSpaceDN w:val="0"/>
        <w:adjustRightInd w:val="0"/>
        <w:spacing w:line="276" w:lineRule="auto"/>
        <w:jc w:val="both"/>
        <w:rPr>
          <w:rFonts w:ascii="Times" w:hAnsi="Times" w:cs="Times"/>
          <w:sz w:val="30"/>
          <w:szCs w:val="30"/>
          <w:lang w:val="en-GB"/>
        </w:rPr>
      </w:pPr>
    </w:p>
    <w:p w14:paraId="1B9EB214" w14:textId="14C6A987" w:rsidR="00E901D1" w:rsidRPr="000A4607" w:rsidRDefault="00653BEA" w:rsidP="00015958">
      <w:pPr>
        <w:widowControl w:val="0"/>
        <w:autoSpaceDE w:val="0"/>
        <w:autoSpaceDN w:val="0"/>
        <w:adjustRightInd w:val="0"/>
        <w:spacing w:after="240" w:line="276" w:lineRule="auto"/>
        <w:jc w:val="both"/>
        <w:rPr>
          <w:rFonts w:ascii="Arial" w:hAnsi="Arial" w:cs="Arial"/>
          <w:b/>
          <w:color w:val="4F81BD" w:themeColor="accent1"/>
          <w:sz w:val="22"/>
          <w:szCs w:val="22"/>
          <w:lang w:val="en-GB"/>
        </w:rPr>
      </w:pPr>
      <w:r w:rsidRPr="000A4607">
        <w:rPr>
          <w:rFonts w:ascii="Arial" w:hAnsi="Arial" w:cs="Arial"/>
          <w:b/>
          <w:color w:val="4F81BD" w:themeColor="accent1"/>
          <w:sz w:val="22"/>
          <w:szCs w:val="22"/>
          <w:lang w:val="en-GB"/>
        </w:rPr>
        <w:t>Zaključci</w:t>
      </w:r>
      <w:r w:rsidR="003B2E2C" w:rsidRPr="000A4607">
        <w:rPr>
          <w:rFonts w:ascii="Arial" w:hAnsi="Arial" w:cs="Arial"/>
          <w:b/>
          <w:color w:val="4F81BD" w:themeColor="accent1"/>
          <w:sz w:val="22"/>
          <w:szCs w:val="22"/>
          <w:lang w:val="en-GB"/>
        </w:rPr>
        <w:t xml:space="preserve"> i preporuke</w:t>
      </w:r>
      <w:r w:rsidR="00DD3EE8" w:rsidRPr="000A4607">
        <w:rPr>
          <w:rFonts w:ascii="Arial" w:hAnsi="Arial" w:cs="Arial"/>
          <w:b/>
          <w:color w:val="4F81BD" w:themeColor="accent1"/>
          <w:sz w:val="22"/>
          <w:szCs w:val="22"/>
          <w:lang w:val="en-GB"/>
        </w:rPr>
        <w:t xml:space="preserve">: </w:t>
      </w:r>
      <w:r w:rsidR="003B2E2C" w:rsidRPr="000A4607">
        <w:rPr>
          <w:rFonts w:ascii="Arial" w:hAnsi="Arial" w:cs="Arial"/>
          <w:b/>
          <w:color w:val="4F81BD" w:themeColor="accent1"/>
          <w:sz w:val="22"/>
          <w:szCs w:val="22"/>
          <w:lang w:val="en-GB"/>
        </w:rPr>
        <w:t xml:space="preserve"> </w:t>
      </w:r>
    </w:p>
    <w:p w14:paraId="7A291BA9" w14:textId="3D83A546" w:rsidR="00417EC0" w:rsidRDefault="005800DC" w:rsidP="00417EC0">
      <w:pPr>
        <w:spacing w:line="276" w:lineRule="auto"/>
        <w:jc w:val="both"/>
        <w:rPr>
          <w:rFonts w:ascii="Arial" w:hAnsi="Arial" w:cs="Arial"/>
          <w:sz w:val="22"/>
          <w:szCs w:val="22"/>
          <w:lang w:val="en-GB"/>
        </w:rPr>
      </w:pPr>
      <w:r w:rsidRPr="000A4607">
        <w:rPr>
          <w:rFonts w:ascii="Arial" w:hAnsi="Arial" w:cs="Arial"/>
          <w:sz w:val="22"/>
          <w:szCs w:val="22"/>
          <w:lang w:val="en-GB"/>
        </w:rPr>
        <w:t xml:space="preserve">Crna Gora nema veliko iskustvo u sprovođenju javno-privatnog partnerstva. </w:t>
      </w:r>
      <w:r w:rsidR="00626AF6" w:rsidRPr="000A4607">
        <w:rPr>
          <w:rFonts w:ascii="Arial" w:hAnsi="Arial" w:cs="Arial"/>
          <w:sz w:val="22"/>
          <w:szCs w:val="22"/>
          <w:lang w:val="en-GB"/>
        </w:rPr>
        <w:t xml:space="preserve">Zakonski okvir za JPP je nekoherentan i obuhvata preko </w:t>
      </w:r>
      <w:r w:rsidR="008E7C00" w:rsidRPr="000A4607">
        <w:rPr>
          <w:rFonts w:ascii="Arial" w:hAnsi="Arial" w:cs="Arial"/>
          <w:sz w:val="22"/>
          <w:szCs w:val="22"/>
          <w:lang w:val="en-GB"/>
        </w:rPr>
        <w:t>40 sektorskih zakona, dok j</w:t>
      </w:r>
      <w:r w:rsidR="00FD217B" w:rsidRPr="000A4607">
        <w:rPr>
          <w:rFonts w:ascii="Arial" w:hAnsi="Arial" w:cs="Arial"/>
          <w:sz w:val="22"/>
          <w:szCs w:val="22"/>
          <w:lang w:val="en-GB"/>
        </w:rPr>
        <w:t>e onaj za koncesije neharmonizo</w:t>
      </w:r>
      <w:r w:rsidR="008E7C00" w:rsidRPr="000A4607">
        <w:rPr>
          <w:rFonts w:ascii="Arial" w:hAnsi="Arial" w:cs="Arial"/>
          <w:sz w:val="22"/>
          <w:szCs w:val="22"/>
          <w:lang w:val="en-GB"/>
        </w:rPr>
        <w:t xml:space="preserve">van sa pravnom tekovinom EU i nefunkcionalan u praksi. </w:t>
      </w:r>
      <w:r w:rsidR="00D40AC2" w:rsidRPr="000A4607">
        <w:rPr>
          <w:rFonts w:ascii="Arial" w:hAnsi="Arial" w:cs="Arial"/>
          <w:sz w:val="22"/>
          <w:szCs w:val="22"/>
          <w:lang w:val="en-GB"/>
        </w:rPr>
        <w:t xml:space="preserve">Odsustvo adekvatnog zakonskog </w:t>
      </w:r>
      <w:r w:rsidR="003408A3" w:rsidRPr="000A4607">
        <w:rPr>
          <w:rFonts w:ascii="Arial" w:hAnsi="Arial" w:cs="Arial"/>
          <w:sz w:val="22"/>
          <w:szCs w:val="22"/>
          <w:lang w:val="en-GB"/>
        </w:rPr>
        <w:t xml:space="preserve">uređenja praćeno je nepostojanjem </w:t>
      </w:r>
      <w:r w:rsidR="00307A0D">
        <w:rPr>
          <w:rFonts w:ascii="Arial" w:hAnsi="Arial" w:cs="Arial"/>
          <w:sz w:val="22"/>
          <w:szCs w:val="22"/>
          <w:lang w:val="en-GB"/>
        </w:rPr>
        <w:t>plana razvoja ove oblasti, a Crna Gora nema ni ekspertsko jezgro za JPP, odnosno centralnu instituciju</w:t>
      </w:r>
      <w:r w:rsidR="003408A3" w:rsidRPr="000A4607">
        <w:rPr>
          <w:rFonts w:ascii="Arial" w:hAnsi="Arial" w:cs="Arial"/>
          <w:sz w:val="22"/>
          <w:szCs w:val="22"/>
          <w:lang w:val="en-GB"/>
        </w:rPr>
        <w:t xml:space="preserve"> koja bi</w:t>
      </w:r>
      <w:r w:rsidR="00D40AC2" w:rsidRPr="000A4607">
        <w:rPr>
          <w:rFonts w:ascii="Arial" w:hAnsi="Arial" w:cs="Arial"/>
          <w:sz w:val="22"/>
          <w:szCs w:val="22"/>
          <w:lang w:val="en-GB"/>
        </w:rPr>
        <w:t xml:space="preserve"> </w:t>
      </w:r>
      <w:r w:rsidR="003408A3" w:rsidRPr="000A4607">
        <w:rPr>
          <w:rFonts w:ascii="Arial" w:hAnsi="Arial" w:cs="Arial"/>
          <w:sz w:val="22"/>
          <w:szCs w:val="22"/>
          <w:lang w:val="en-GB"/>
        </w:rPr>
        <w:t xml:space="preserve">unaprijedila proces pripreme </w:t>
      </w:r>
      <w:r w:rsidR="000D1E89">
        <w:rPr>
          <w:rFonts w:ascii="Arial" w:hAnsi="Arial" w:cs="Arial"/>
          <w:sz w:val="22"/>
          <w:szCs w:val="22"/>
          <w:lang w:val="en-GB"/>
        </w:rPr>
        <w:t xml:space="preserve">ovih </w:t>
      </w:r>
      <w:r w:rsidR="00D40AC2" w:rsidRPr="000A4607">
        <w:rPr>
          <w:rFonts w:ascii="Arial" w:hAnsi="Arial" w:cs="Arial"/>
          <w:sz w:val="22"/>
          <w:szCs w:val="22"/>
          <w:lang w:val="en-GB"/>
        </w:rPr>
        <w:t xml:space="preserve">složenih </w:t>
      </w:r>
      <w:r w:rsidR="000D1E89">
        <w:rPr>
          <w:rFonts w:ascii="Arial" w:hAnsi="Arial" w:cs="Arial"/>
          <w:sz w:val="22"/>
          <w:szCs w:val="22"/>
          <w:lang w:val="en-GB"/>
        </w:rPr>
        <w:t>projekata</w:t>
      </w:r>
      <w:r w:rsidR="00D40AC2" w:rsidRPr="000A4607">
        <w:rPr>
          <w:rFonts w:ascii="Arial" w:hAnsi="Arial" w:cs="Arial"/>
          <w:sz w:val="22"/>
          <w:szCs w:val="22"/>
          <w:lang w:val="en-GB"/>
        </w:rPr>
        <w:t xml:space="preserve">. </w:t>
      </w:r>
      <w:r w:rsidR="00417EC0" w:rsidRPr="000A4607">
        <w:rPr>
          <w:rFonts w:ascii="Arial" w:hAnsi="Arial" w:cs="Arial"/>
          <w:sz w:val="22"/>
          <w:szCs w:val="22"/>
          <w:lang w:val="en-GB"/>
        </w:rPr>
        <w:t>Planiranje, zaključivanje i monitoring JPP ugovora zahtijeva posebna znanja i vještine u odnosu na pripremu tradiciona</w:t>
      </w:r>
      <w:r w:rsidR="00A07D2F" w:rsidRPr="000A4607">
        <w:rPr>
          <w:rFonts w:ascii="Arial" w:hAnsi="Arial" w:cs="Arial"/>
          <w:sz w:val="22"/>
          <w:szCs w:val="22"/>
          <w:lang w:val="en-GB"/>
        </w:rPr>
        <w:t>lnih projekata i javnih n</w:t>
      </w:r>
      <w:r w:rsidR="00491BBB" w:rsidRPr="000A4607">
        <w:rPr>
          <w:rFonts w:ascii="Arial" w:hAnsi="Arial" w:cs="Arial"/>
          <w:sz w:val="22"/>
          <w:szCs w:val="22"/>
          <w:lang w:val="en-GB"/>
        </w:rPr>
        <w:t xml:space="preserve">abavki, pa je nepoznavanje </w:t>
      </w:r>
      <w:r w:rsidR="000A4607">
        <w:rPr>
          <w:rFonts w:ascii="Arial" w:hAnsi="Arial" w:cs="Arial"/>
          <w:sz w:val="22"/>
          <w:szCs w:val="22"/>
        </w:rPr>
        <w:t>“</w:t>
      </w:r>
      <w:r w:rsidR="00491BBB" w:rsidRPr="000A4607">
        <w:rPr>
          <w:rFonts w:ascii="Arial" w:hAnsi="Arial" w:cs="Arial"/>
          <w:sz w:val="22"/>
          <w:szCs w:val="22"/>
          <w:lang w:val="en-GB"/>
        </w:rPr>
        <w:t>logike</w:t>
      </w:r>
      <w:r w:rsidR="000A4607">
        <w:rPr>
          <w:rFonts w:ascii="Arial" w:hAnsi="Arial" w:cs="Arial"/>
          <w:sz w:val="22"/>
          <w:szCs w:val="22"/>
        </w:rPr>
        <w:t>”</w:t>
      </w:r>
      <w:r w:rsidR="00491BBB" w:rsidRPr="000A4607">
        <w:rPr>
          <w:rFonts w:ascii="Arial" w:hAnsi="Arial" w:cs="Arial"/>
          <w:sz w:val="22"/>
          <w:szCs w:val="22"/>
          <w:lang w:val="en-GB"/>
        </w:rPr>
        <w:t xml:space="preserve"> sprovođenja </w:t>
      </w:r>
      <w:r w:rsidR="00A07D2F" w:rsidRPr="000A4607">
        <w:rPr>
          <w:rFonts w:ascii="Arial" w:hAnsi="Arial" w:cs="Arial"/>
          <w:sz w:val="22"/>
          <w:szCs w:val="22"/>
          <w:lang w:val="en-GB"/>
        </w:rPr>
        <w:t xml:space="preserve">ovih projekata </w:t>
      </w:r>
      <w:r w:rsidR="000D1E89">
        <w:rPr>
          <w:rFonts w:ascii="Arial" w:hAnsi="Arial" w:cs="Arial"/>
          <w:sz w:val="22"/>
          <w:szCs w:val="22"/>
          <w:lang w:val="en-GB"/>
        </w:rPr>
        <w:t xml:space="preserve">još jedan od ograničavajućih </w:t>
      </w:r>
      <w:r w:rsidR="00096CD6">
        <w:rPr>
          <w:rFonts w:ascii="Arial" w:hAnsi="Arial" w:cs="Arial"/>
          <w:sz w:val="22"/>
          <w:szCs w:val="22"/>
          <w:lang w:val="en-GB"/>
        </w:rPr>
        <w:t xml:space="preserve">faktora u pravcu njihovog intenzivnijeg korišćenja. </w:t>
      </w:r>
    </w:p>
    <w:p w14:paraId="52710591" w14:textId="77777777" w:rsidR="004821B7" w:rsidRDefault="004821B7" w:rsidP="00DF5DF7">
      <w:pPr>
        <w:spacing w:line="276" w:lineRule="auto"/>
        <w:jc w:val="both"/>
        <w:rPr>
          <w:rFonts w:ascii="Arial" w:hAnsi="Arial" w:cs="Arial"/>
          <w:sz w:val="22"/>
          <w:szCs w:val="22"/>
          <w:lang w:val="en-GB"/>
        </w:rPr>
      </w:pPr>
    </w:p>
    <w:p w14:paraId="2B94C114" w14:textId="69BA3D79" w:rsidR="004821B7" w:rsidRPr="004821B7" w:rsidRDefault="004821B7" w:rsidP="00DF5DF7">
      <w:pPr>
        <w:widowControl w:val="0"/>
        <w:autoSpaceDE w:val="0"/>
        <w:autoSpaceDN w:val="0"/>
        <w:adjustRightInd w:val="0"/>
        <w:spacing w:after="240" w:line="276" w:lineRule="auto"/>
        <w:jc w:val="both"/>
        <w:rPr>
          <w:rFonts w:ascii="Arial" w:hAnsi="Arial" w:cs="Arial"/>
          <w:sz w:val="22"/>
          <w:szCs w:val="22"/>
        </w:rPr>
      </w:pPr>
      <w:r w:rsidRPr="004821B7">
        <w:rPr>
          <w:rFonts w:ascii="Arial" w:hAnsi="Arial" w:cs="Arial"/>
          <w:sz w:val="22"/>
          <w:szCs w:val="22"/>
        </w:rPr>
        <w:t>Dodatan problem predstavlja manjak potrebnog stručnog znanja u ovim oblastima kako na nacionalnom tako i na lokalnom nivou. Nema institucije koja bi u nadležnosti imala regulisanje koncesija, dok Komisija za koncesije odlučuje o prigovorima u drugostepenom postupku, a od 2009. godine kada je ovo tijelo usposta</w:t>
      </w:r>
      <w:r w:rsidR="00FF7A3B">
        <w:rPr>
          <w:rFonts w:ascii="Arial" w:hAnsi="Arial" w:cs="Arial"/>
          <w:sz w:val="22"/>
          <w:szCs w:val="22"/>
        </w:rPr>
        <w:t xml:space="preserve">vljeno, razmatrala je ukupno 13 </w:t>
      </w:r>
      <w:r w:rsidRPr="004821B7">
        <w:rPr>
          <w:rFonts w:ascii="Arial" w:hAnsi="Arial" w:cs="Arial"/>
          <w:sz w:val="22"/>
          <w:szCs w:val="22"/>
        </w:rPr>
        <w:t xml:space="preserve">prigovora. Uprkos tome, za rad ove Komisije se na godišnjem nivou iz budžeta izdvajaju značajna sredstva. </w:t>
      </w:r>
    </w:p>
    <w:p w14:paraId="017B81A4" w14:textId="0EEABD45" w:rsidR="00417EC0" w:rsidRPr="004821B7" w:rsidRDefault="004821B7" w:rsidP="00DF5DF7">
      <w:pPr>
        <w:widowControl w:val="0"/>
        <w:tabs>
          <w:tab w:val="left" w:pos="220"/>
          <w:tab w:val="left" w:pos="720"/>
        </w:tabs>
        <w:autoSpaceDE w:val="0"/>
        <w:autoSpaceDN w:val="0"/>
        <w:adjustRightInd w:val="0"/>
        <w:spacing w:after="240" w:line="276" w:lineRule="auto"/>
        <w:jc w:val="both"/>
        <w:rPr>
          <w:rFonts w:ascii="Arial" w:hAnsi="Arial" w:cs="Arial"/>
          <w:sz w:val="22"/>
          <w:szCs w:val="22"/>
        </w:rPr>
      </w:pPr>
      <w:r w:rsidRPr="004821B7">
        <w:rPr>
          <w:rFonts w:ascii="Arial" w:hAnsi="Arial" w:cs="Arial"/>
          <w:sz w:val="22"/>
          <w:szCs w:val="22"/>
        </w:rPr>
        <w:t>Pristup ugovorima o</w:t>
      </w:r>
      <w:r w:rsidR="009A1087">
        <w:rPr>
          <w:rFonts w:ascii="Arial" w:hAnsi="Arial" w:cs="Arial"/>
          <w:sz w:val="22"/>
          <w:szCs w:val="22"/>
        </w:rPr>
        <w:t xml:space="preserve"> JPP je otežan zbog nepostojanja</w:t>
      </w:r>
      <w:r w:rsidRPr="004821B7">
        <w:rPr>
          <w:rFonts w:ascii="Arial" w:hAnsi="Arial" w:cs="Arial"/>
          <w:sz w:val="22"/>
          <w:szCs w:val="22"/>
        </w:rPr>
        <w:t xml:space="preserve"> elektronske baze. Kada su u pitanju koncesije, registar koji ažurira Komisija za koncesije sadrži samo informacije o predmetu koncesije, vremenu trajanja i imenima koncedenta i koncesionara. Loša koordinacija između nadležnih organa državne i lokalne uprave ogleda se i tome što opštine ne usvajaju godišnje planove koncesija iako su na to obavezane Zakonom o koncesijama. Posebno ograničenje predstavlja neefikasan sistem naplate koncesija koje sprovode Ministarstvo finansija i Poreska uprava, pa se dugovanja na ime neizmirenih obaveza koncesionara povećavaju svake godine. Ovaj dug je u januaru 2013. godine iznosio 12. 249. 306, 44 eura. Slaba kontrola sprovođenja zaključenih ugovora o koncesijama uslovljena je i manjkom kapaciteta za sve oblasti, odnosno u svim odsjecima Uprave za inspekcijske poslove.</w:t>
      </w:r>
    </w:p>
    <w:p w14:paraId="26E47E5A" w14:textId="4BF4B139" w:rsidR="003A5C56" w:rsidRPr="000A4607" w:rsidRDefault="00653BEA" w:rsidP="00653BEA">
      <w:pPr>
        <w:spacing w:line="276" w:lineRule="auto"/>
        <w:jc w:val="both"/>
        <w:rPr>
          <w:rFonts w:ascii="Arial" w:hAnsi="Arial" w:cs="Arial"/>
          <w:sz w:val="22"/>
          <w:szCs w:val="22"/>
          <w:lang w:val="en-GB"/>
        </w:rPr>
      </w:pPr>
      <w:r w:rsidRPr="000A4607">
        <w:rPr>
          <w:rFonts w:ascii="Arial" w:hAnsi="Arial" w:cs="Arial"/>
          <w:sz w:val="22"/>
          <w:szCs w:val="22"/>
          <w:lang w:val="en-GB"/>
        </w:rPr>
        <w:t>Uporedna iskustva govore da su usklađeni pravni i institucionalni okviri, uz transparentnost, definisane strateške ciljeve razvoja uz pažljivu pripremu projekata ključni za uspješno sprovođenje javno-privatnih partnerstava.</w:t>
      </w:r>
      <w:r w:rsidR="003A5C56" w:rsidRPr="000A4607">
        <w:rPr>
          <w:rFonts w:ascii="Arial" w:hAnsi="Arial" w:cs="Arial"/>
          <w:sz w:val="22"/>
          <w:szCs w:val="22"/>
          <w:lang w:val="en-GB"/>
        </w:rPr>
        <w:t xml:space="preserve"> </w:t>
      </w:r>
      <w:r w:rsidR="005800DC" w:rsidRPr="000A4607">
        <w:rPr>
          <w:rFonts w:ascii="Arial" w:hAnsi="Arial" w:cs="Arial"/>
          <w:sz w:val="22"/>
          <w:szCs w:val="22"/>
          <w:lang w:val="en-GB"/>
        </w:rPr>
        <w:t>Međutim, u</w:t>
      </w:r>
      <w:r w:rsidR="003A5C56" w:rsidRPr="000A4607">
        <w:rPr>
          <w:rFonts w:ascii="Arial" w:hAnsi="Arial" w:cs="Arial"/>
          <w:sz w:val="22"/>
          <w:szCs w:val="22"/>
          <w:lang w:val="en-GB"/>
        </w:rPr>
        <w:t xml:space="preserve">naprijeđeni pravni i institucionalni okviri ne garantuju </w:t>
      </w:r>
      <w:r w:rsidR="002E070B" w:rsidRPr="000A4607">
        <w:rPr>
          <w:rFonts w:ascii="Arial" w:hAnsi="Arial" w:cs="Arial"/>
          <w:sz w:val="22"/>
          <w:szCs w:val="22"/>
          <w:lang w:val="en-GB"/>
        </w:rPr>
        <w:t xml:space="preserve">brzi uspjeh </w:t>
      </w:r>
      <w:r w:rsidR="003A5C56" w:rsidRPr="000A4607">
        <w:rPr>
          <w:rFonts w:ascii="Arial" w:hAnsi="Arial" w:cs="Arial"/>
          <w:sz w:val="22"/>
          <w:szCs w:val="22"/>
          <w:lang w:val="en-GB"/>
        </w:rPr>
        <w:t xml:space="preserve">u primjeni </w:t>
      </w:r>
      <w:r w:rsidR="00390F3C">
        <w:rPr>
          <w:rFonts w:ascii="Arial" w:hAnsi="Arial" w:cs="Arial"/>
          <w:sz w:val="22"/>
          <w:szCs w:val="22"/>
          <w:lang w:val="en-GB"/>
        </w:rPr>
        <w:t>JPP</w:t>
      </w:r>
      <w:r w:rsidR="002E070B" w:rsidRPr="000A4607">
        <w:rPr>
          <w:rFonts w:ascii="Arial" w:hAnsi="Arial" w:cs="Arial"/>
          <w:sz w:val="22"/>
          <w:szCs w:val="22"/>
          <w:lang w:val="en-GB"/>
        </w:rPr>
        <w:t>, ali su poč</w:t>
      </w:r>
      <w:r w:rsidR="00F03A61">
        <w:rPr>
          <w:rFonts w:ascii="Arial" w:hAnsi="Arial" w:cs="Arial"/>
          <w:sz w:val="22"/>
          <w:szCs w:val="22"/>
          <w:lang w:val="en-GB"/>
        </w:rPr>
        <w:t xml:space="preserve">etni korak u stvaranju pogodne klime za strana ulaganja i kreditiranje od strane međunarodnih investicionih banaka. </w:t>
      </w:r>
      <w:r w:rsidR="00D4755D">
        <w:rPr>
          <w:rFonts w:ascii="Arial" w:hAnsi="Arial" w:cs="Arial"/>
          <w:sz w:val="22"/>
          <w:szCs w:val="22"/>
          <w:lang w:val="en-GB"/>
        </w:rPr>
        <w:t xml:space="preserve">Da bi ovakvo “okruženje” bilo uspostavljeno u Crnoj Gori neophodno je: </w:t>
      </w:r>
    </w:p>
    <w:p w14:paraId="088534B4" w14:textId="77777777" w:rsidR="003B2E2C" w:rsidRPr="000A4607" w:rsidRDefault="003B2E2C">
      <w:pPr>
        <w:rPr>
          <w:rFonts w:ascii="Arial" w:hAnsi="Arial" w:cs="Arial"/>
          <w:sz w:val="22"/>
          <w:szCs w:val="22"/>
          <w:lang w:val="en-GB"/>
        </w:rPr>
      </w:pPr>
    </w:p>
    <w:p w14:paraId="6E8DDFCC" w14:textId="725C98C7" w:rsidR="008D587D" w:rsidRPr="000A4607" w:rsidRDefault="008D587D" w:rsidP="00417A10">
      <w:pPr>
        <w:pStyle w:val="ListParagraph"/>
        <w:numPr>
          <w:ilvl w:val="0"/>
          <w:numId w:val="7"/>
        </w:numPr>
        <w:spacing w:line="276" w:lineRule="auto"/>
        <w:jc w:val="both"/>
        <w:rPr>
          <w:rFonts w:ascii="Arial" w:hAnsi="Arial" w:cs="Arial"/>
          <w:sz w:val="22"/>
          <w:szCs w:val="22"/>
          <w:lang w:val="en-GB"/>
        </w:rPr>
      </w:pPr>
      <w:r w:rsidRPr="000A4607">
        <w:rPr>
          <w:rFonts w:ascii="Arial" w:hAnsi="Arial" w:cs="Arial"/>
          <w:sz w:val="22"/>
          <w:szCs w:val="22"/>
          <w:lang w:val="en-GB"/>
        </w:rPr>
        <w:t xml:space="preserve">Pripremiti </w:t>
      </w:r>
      <w:r w:rsidR="00800DE0" w:rsidRPr="000A4607">
        <w:rPr>
          <w:rFonts w:ascii="Arial" w:hAnsi="Arial" w:cs="Arial"/>
          <w:sz w:val="22"/>
          <w:szCs w:val="22"/>
          <w:lang w:val="en-GB"/>
        </w:rPr>
        <w:t xml:space="preserve">srednjoročni </w:t>
      </w:r>
      <w:r w:rsidRPr="000A4607">
        <w:rPr>
          <w:rFonts w:ascii="Arial" w:hAnsi="Arial" w:cs="Arial"/>
          <w:sz w:val="22"/>
          <w:szCs w:val="22"/>
          <w:lang w:val="en-GB"/>
        </w:rPr>
        <w:t xml:space="preserve">strateški okvir za razvoj javno-privatnog partnerstva </w:t>
      </w:r>
      <w:r w:rsidR="00800DE0" w:rsidRPr="000A4607">
        <w:rPr>
          <w:rFonts w:ascii="Arial" w:hAnsi="Arial" w:cs="Arial"/>
          <w:sz w:val="22"/>
          <w:szCs w:val="22"/>
          <w:lang w:val="en-GB"/>
        </w:rPr>
        <w:t>koji će omogućiti</w:t>
      </w:r>
      <w:r w:rsidR="00192E02">
        <w:rPr>
          <w:rFonts w:ascii="Arial" w:hAnsi="Arial" w:cs="Arial"/>
          <w:sz w:val="22"/>
          <w:szCs w:val="22"/>
          <w:lang w:val="en-GB"/>
        </w:rPr>
        <w:t xml:space="preserve"> dalje planiranje ovih projekata po sektorima. </w:t>
      </w:r>
      <w:r w:rsidR="00800DE0" w:rsidRPr="000A4607">
        <w:rPr>
          <w:rFonts w:ascii="Arial" w:hAnsi="Arial" w:cs="Arial"/>
          <w:sz w:val="22"/>
          <w:szCs w:val="22"/>
          <w:lang w:val="en-GB"/>
        </w:rPr>
        <w:t xml:space="preserve"> </w:t>
      </w:r>
    </w:p>
    <w:p w14:paraId="0930CD2C" w14:textId="77777777" w:rsidR="006F76AC" w:rsidRDefault="006F76AC" w:rsidP="00417A10">
      <w:pPr>
        <w:spacing w:line="276" w:lineRule="auto"/>
        <w:rPr>
          <w:rFonts w:ascii="Arial" w:hAnsi="Arial" w:cs="Arial"/>
          <w:sz w:val="22"/>
          <w:szCs w:val="22"/>
          <w:lang w:val="en-GB"/>
        </w:rPr>
      </w:pPr>
    </w:p>
    <w:p w14:paraId="51103D77" w14:textId="6FD5BB36" w:rsidR="00031BB2" w:rsidRPr="000A4607" w:rsidRDefault="00031BB2" w:rsidP="00417A10">
      <w:pPr>
        <w:spacing w:line="276" w:lineRule="auto"/>
        <w:rPr>
          <w:rFonts w:ascii="Arial" w:hAnsi="Arial" w:cs="Arial"/>
          <w:sz w:val="22"/>
          <w:szCs w:val="22"/>
          <w:lang w:val="en-GB"/>
        </w:rPr>
      </w:pPr>
      <w:r w:rsidRPr="000A4607">
        <w:rPr>
          <w:rFonts w:ascii="Arial" w:hAnsi="Arial" w:cs="Arial"/>
          <w:sz w:val="22"/>
          <w:szCs w:val="22"/>
          <w:lang w:val="en-GB"/>
        </w:rPr>
        <w:t xml:space="preserve">Usvojiti zakonski okvir za javno-privatno partnerstvo koji će: </w:t>
      </w:r>
    </w:p>
    <w:p w14:paraId="12F249AE" w14:textId="77777777" w:rsidR="00031BB2" w:rsidRPr="000A4607" w:rsidRDefault="00031BB2" w:rsidP="00417A10">
      <w:pPr>
        <w:spacing w:line="276" w:lineRule="auto"/>
        <w:rPr>
          <w:rFonts w:ascii="Arial" w:hAnsi="Arial" w:cs="Arial"/>
          <w:sz w:val="22"/>
          <w:szCs w:val="22"/>
          <w:lang w:val="en-GB"/>
        </w:rPr>
      </w:pPr>
    </w:p>
    <w:p w14:paraId="28850163" w14:textId="511CD181" w:rsidR="00031BB2" w:rsidRDefault="00031BB2" w:rsidP="00417A10">
      <w:pPr>
        <w:pStyle w:val="ListParagraph"/>
        <w:widowControl w:val="0"/>
        <w:numPr>
          <w:ilvl w:val="0"/>
          <w:numId w:val="4"/>
        </w:numPr>
        <w:tabs>
          <w:tab w:val="left" w:pos="220"/>
          <w:tab w:val="left" w:pos="720"/>
        </w:tabs>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Uspostaviti jasne i transparentne procedure za </w:t>
      </w:r>
      <w:r w:rsidR="001E337C">
        <w:rPr>
          <w:rFonts w:ascii="Arial" w:hAnsi="Arial" w:cs="Arial"/>
          <w:sz w:val="22"/>
          <w:szCs w:val="22"/>
          <w:lang w:val="en-GB"/>
        </w:rPr>
        <w:t>JPP i koncesije</w:t>
      </w:r>
      <w:r w:rsidR="00D53CCE">
        <w:rPr>
          <w:rFonts w:ascii="Arial" w:hAnsi="Arial" w:cs="Arial"/>
          <w:sz w:val="22"/>
          <w:szCs w:val="22"/>
          <w:lang w:val="en-GB"/>
        </w:rPr>
        <w:t xml:space="preserve"> </w:t>
      </w:r>
      <w:r w:rsidR="001E337C">
        <w:rPr>
          <w:rFonts w:ascii="Arial" w:hAnsi="Arial" w:cs="Arial"/>
          <w:sz w:val="22"/>
          <w:szCs w:val="22"/>
          <w:lang w:val="en-GB"/>
        </w:rPr>
        <w:t xml:space="preserve">u skladu sa pravnim propisima </w:t>
      </w:r>
      <w:r w:rsidR="00D53CCE">
        <w:rPr>
          <w:rFonts w:ascii="Arial" w:hAnsi="Arial" w:cs="Arial"/>
          <w:sz w:val="22"/>
          <w:szCs w:val="22"/>
          <w:lang w:val="en-GB"/>
        </w:rPr>
        <w:t>Evropske unije</w:t>
      </w:r>
      <w:r w:rsidRPr="000A4607">
        <w:rPr>
          <w:rFonts w:ascii="Arial" w:hAnsi="Arial" w:cs="Arial"/>
          <w:sz w:val="22"/>
          <w:szCs w:val="22"/>
          <w:lang w:val="en-GB"/>
        </w:rPr>
        <w:t xml:space="preserve">; </w:t>
      </w:r>
    </w:p>
    <w:p w14:paraId="6444C100" w14:textId="77777777" w:rsidR="00D53CCE" w:rsidRDefault="00D53CCE" w:rsidP="00417A10">
      <w:pPr>
        <w:pStyle w:val="ListParagraph"/>
        <w:widowControl w:val="0"/>
        <w:tabs>
          <w:tab w:val="left" w:pos="220"/>
          <w:tab w:val="left" w:pos="720"/>
        </w:tabs>
        <w:autoSpaceDE w:val="0"/>
        <w:autoSpaceDN w:val="0"/>
        <w:adjustRightInd w:val="0"/>
        <w:spacing w:after="240" w:line="276" w:lineRule="auto"/>
        <w:jc w:val="both"/>
        <w:rPr>
          <w:rFonts w:ascii="Arial" w:hAnsi="Arial" w:cs="Arial"/>
          <w:sz w:val="22"/>
          <w:szCs w:val="22"/>
          <w:lang w:val="en-GB"/>
        </w:rPr>
      </w:pPr>
    </w:p>
    <w:p w14:paraId="536A81C9" w14:textId="57731AEB" w:rsidR="00192E02" w:rsidRPr="000A4607" w:rsidRDefault="00192E02" w:rsidP="00417A10">
      <w:pPr>
        <w:pStyle w:val="ListParagraph"/>
        <w:numPr>
          <w:ilvl w:val="0"/>
          <w:numId w:val="4"/>
        </w:numPr>
        <w:spacing w:line="276" w:lineRule="auto"/>
        <w:jc w:val="both"/>
        <w:rPr>
          <w:rFonts w:ascii="Arial" w:hAnsi="Arial" w:cs="Arial"/>
          <w:sz w:val="22"/>
          <w:szCs w:val="22"/>
          <w:lang w:val="en-GB"/>
        </w:rPr>
      </w:pPr>
      <w:r>
        <w:rPr>
          <w:rFonts w:ascii="Arial" w:hAnsi="Arial" w:cs="Arial"/>
          <w:sz w:val="22"/>
          <w:szCs w:val="22"/>
          <w:lang w:val="en-GB"/>
        </w:rPr>
        <w:t>Utvrditi preciznu</w:t>
      </w:r>
      <w:r w:rsidR="00D53CCE">
        <w:rPr>
          <w:rFonts w:ascii="Arial" w:hAnsi="Arial" w:cs="Arial"/>
          <w:sz w:val="22"/>
          <w:szCs w:val="22"/>
          <w:lang w:val="en-GB"/>
        </w:rPr>
        <w:t xml:space="preserve"> raspodjelu</w:t>
      </w:r>
      <w:r w:rsidRPr="000A4607">
        <w:rPr>
          <w:rFonts w:ascii="Arial" w:hAnsi="Arial" w:cs="Arial"/>
          <w:sz w:val="22"/>
          <w:szCs w:val="22"/>
          <w:lang w:val="en-GB"/>
        </w:rPr>
        <w:t xml:space="preserve"> nadležnosti i odgovornosti između centralnog nivoa i lokalnih samouprava</w:t>
      </w:r>
      <w:r w:rsidR="00417A10">
        <w:rPr>
          <w:rFonts w:ascii="Arial" w:hAnsi="Arial" w:cs="Arial"/>
          <w:sz w:val="22"/>
          <w:szCs w:val="22"/>
          <w:lang w:val="en-GB"/>
        </w:rPr>
        <w:t xml:space="preserve"> koja će omogućiti lokalnim vlastima da prate dospijeće koncesionih naknada i realno procjenjuju prihode na godišnjem i dugoročnom nivou</w:t>
      </w:r>
      <w:r>
        <w:rPr>
          <w:rFonts w:ascii="Arial" w:hAnsi="Arial" w:cs="Arial"/>
          <w:sz w:val="22"/>
          <w:szCs w:val="22"/>
          <w:lang w:val="en-GB"/>
        </w:rPr>
        <w:t xml:space="preserve">; </w:t>
      </w:r>
      <w:r w:rsidRPr="000A4607">
        <w:rPr>
          <w:rFonts w:ascii="Arial" w:hAnsi="Arial" w:cs="Arial"/>
          <w:sz w:val="22"/>
          <w:szCs w:val="22"/>
          <w:lang w:val="en-GB"/>
        </w:rPr>
        <w:t xml:space="preserve"> </w:t>
      </w:r>
    </w:p>
    <w:p w14:paraId="1192F188" w14:textId="3BEB215C" w:rsidR="00031BB2" w:rsidRPr="00192E02" w:rsidRDefault="00031BB2" w:rsidP="00417A10">
      <w:pPr>
        <w:pStyle w:val="ListParagraph"/>
        <w:widowControl w:val="0"/>
        <w:tabs>
          <w:tab w:val="left" w:pos="220"/>
          <w:tab w:val="left" w:pos="720"/>
        </w:tabs>
        <w:autoSpaceDE w:val="0"/>
        <w:autoSpaceDN w:val="0"/>
        <w:adjustRightInd w:val="0"/>
        <w:spacing w:after="240" w:line="276" w:lineRule="auto"/>
        <w:jc w:val="both"/>
        <w:rPr>
          <w:rFonts w:ascii="Arial" w:hAnsi="Arial" w:cs="Arial"/>
          <w:sz w:val="22"/>
          <w:szCs w:val="22"/>
          <w:lang w:val="en-GB"/>
        </w:rPr>
      </w:pPr>
    </w:p>
    <w:p w14:paraId="7B258B18" w14:textId="26B9E100" w:rsidR="005A2F98" w:rsidRPr="000A4607" w:rsidRDefault="000A7380" w:rsidP="00417A10">
      <w:pPr>
        <w:pStyle w:val="ListParagraph"/>
        <w:widowControl w:val="0"/>
        <w:numPr>
          <w:ilvl w:val="0"/>
          <w:numId w:val="4"/>
        </w:numPr>
        <w:tabs>
          <w:tab w:val="left" w:pos="220"/>
          <w:tab w:val="left" w:pos="720"/>
        </w:tabs>
        <w:autoSpaceDE w:val="0"/>
        <w:autoSpaceDN w:val="0"/>
        <w:adjustRightInd w:val="0"/>
        <w:spacing w:line="276" w:lineRule="auto"/>
        <w:ind w:left="714" w:hanging="357"/>
        <w:jc w:val="both"/>
        <w:rPr>
          <w:rFonts w:ascii="Arial" w:hAnsi="Arial" w:cs="Arial"/>
          <w:sz w:val="22"/>
          <w:szCs w:val="22"/>
          <w:lang w:val="en-GB"/>
        </w:rPr>
      </w:pPr>
      <w:r>
        <w:rPr>
          <w:rFonts w:ascii="Arial" w:hAnsi="Arial" w:cs="Arial"/>
          <w:sz w:val="22"/>
          <w:szCs w:val="22"/>
          <w:lang w:val="en-GB"/>
        </w:rPr>
        <w:t>Stvoriti osnov za uspostavljanje elektronske baze</w:t>
      </w:r>
      <w:r w:rsidR="00031BB2" w:rsidRPr="000A4607">
        <w:rPr>
          <w:rFonts w:ascii="Arial" w:hAnsi="Arial" w:cs="Arial"/>
          <w:sz w:val="22"/>
          <w:szCs w:val="22"/>
          <w:lang w:val="en-GB"/>
        </w:rPr>
        <w:t xml:space="preserve"> zaključenih ugovora o JPP </w:t>
      </w:r>
      <w:r w:rsidR="00134D6B" w:rsidRPr="000A4607">
        <w:rPr>
          <w:rFonts w:ascii="Arial" w:hAnsi="Arial" w:cs="Arial"/>
          <w:sz w:val="22"/>
          <w:szCs w:val="22"/>
          <w:lang w:val="en-GB"/>
        </w:rPr>
        <w:t>sa kompletnim ugovorima i planovima</w:t>
      </w:r>
      <w:r w:rsidR="00031BB2" w:rsidRPr="000A4607">
        <w:rPr>
          <w:rFonts w:ascii="Arial" w:hAnsi="Arial" w:cs="Arial"/>
          <w:sz w:val="22"/>
          <w:szCs w:val="22"/>
          <w:lang w:val="en-GB"/>
        </w:rPr>
        <w:t xml:space="preserve"> finansijskih otplata</w:t>
      </w:r>
      <w:r w:rsidR="00417A10">
        <w:rPr>
          <w:rFonts w:ascii="Arial" w:hAnsi="Arial" w:cs="Arial"/>
          <w:sz w:val="22"/>
          <w:szCs w:val="22"/>
          <w:lang w:val="en-GB"/>
        </w:rPr>
        <w:t xml:space="preserve"> </w:t>
      </w:r>
      <w:r w:rsidR="005A2F98" w:rsidRPr="000A4607">
        <w:rPr>
          <w:rFonts w:ascii="Arial" w:hAnsi="Arial" w:cs="Arial"/>
          <w:sz w:val="22"/>
          <w:szCs w:val="22"/>
          <w:lang w:val="en-GB"/>
        </w:rPr>
        <w:t>koji će biti ažuriran po zaključenju ugovora</w:t>
      </w:r>
      <w:r w:rsidR="004C3FEB">
        <w:rPr>
          <w:rFonts w:ascii="Arial" w:hAnsi="Arial" w:cs="Arial"/>
          <w:sz w:val="22"/>
          <w:szCs w:val="22"/>
          <w:lang w:val="en-GB"/>
        </w:rPr>
        <w:t xml:space="preserve">. </w:t>
      </w:r>
    </w:p>
    <w:p w14:paraId="6B8E3458" w14:textId="77777777" w:rsidR="00EB0F41" w:rsidRPr="000A4607" w:rsidRDefault="00EB0F41" w:rsidP="00417A10">
      <w:pPr>
        <w:widowControl w:val="0"/>
        <w:tabs>
          <w:tab w:val="left" w:pos="220"/>
          <w:tab w:val="left" w:pos="720"/>
        </w:tabs>
        <w:autoSpaceDE w:val="0"/>
        <w:autoSpaceDN w:val="0"/>
        <w:adjustRightInd w:val="0"/>
        <w:spacing w:line="276" w:lineRule="auto"/>
        <w:jc w:val="both"/>
        <w:rPr>
          <w:rFonts w:ascii="Arial" w:hAnsi="Arial" w:cs="Arial"/>
          <w:sz w:val="22"/>
          <w:szCs w:val="22"/>
          <w:lang w:val="en-GB"/>
        </w:rPr>
      </w:pPr>
    </w:p>
    <w:p w14:paraId="2F722192" w14:textId="1B409C0C" w:rsidR="00E62CEC" w:rsidRPr="000A4607" w:rsidRDefault="00E62CEC" w:rsidP="00417A10">
      <w:pPr>
        <w:widowControl w:val="0"/>
        <w:tabs>
          <w:tab w:val="left" w:pos="220"/>
          <w:tab w:val="left" w:pos="720"/>
        </w:tabs>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Uspostaviti centralnu </w:t>
      </w:r>
      <w:r w:rsidR="00EB3392">
        <w:rPr>
          <w:rFonts w:ascii="Arial" w:hAnsi="Arial" w:cs="Arial"/>
          <w:sz w:val="22"/>
          <w:szCs w:val="22"/>
          <w:lang w:val="en-GB"/>
        </w:rPr>
        <w:t xml:space="preserve">samostalnu </w:t>
      </w:r>
      <w:r w:rsidRPr="000A4607">
        <w:rPr>
          <w:rFonts w:ascii="Arial" w:hAnsi="Arial" w:cs="Arial"/>
          <w:sz w:val="22"/>
          <w:szCs w:val="22"/>
          <w:lang w:val="en-GB"/>
        </w:rPr>
        <w:t xml:space="preserve">jedinicu za JPP koja će: </w:t>
      </w:r>
    </w:p>
    <w:p w14:paraId="487EB3C2" w14:textId="68635B02" w:rsidR="00E62CEC" w:rsidRPr="000A4607" w:rsidRDefault="00E62CEC" w:rsidP="00417A10">
      <w:pPr>
        <w:pStyle w:val="ListParagraph"/>
        <w:widowControl w:val="0"/>
        <w:numPr>
          <w:ilvl w:val="0"/>
          <w:numId w:val="6"/>
        </w:numPr>
        <w:tabs>
          <w:tab w:val="left" w:pos="220"/>
          <w:tab w:val="left" w:pos="720"/>
        </w:tabs>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Pružati ekspertsku podršku u pripremi JPP projekata; </w:t>
      </w:r>
    </w:p>
    <w:p w14:paraId="0F842A68" w14:textId="77777777" w:rsidR="00A5244F" w:rsidRPr="000A4607" w:rsidRDefault="00A5244F" w:rsidP="00417A10">
      <w:pPr>
        <w:pStyle w:val="ListParagraph"/>
        <w:widowControl w:val="0"/>
        <w:tabs>
          <w:tab w:val="left" w:pos="220"/>
          <w:tab w:val="left" w:pos="720"/>
        </w:tabs>
        <w:autoSpaceDE w:val="0"/>
        <w:autoSpaceDN w:val="0"/>
        <w:adjustRightInd w:val="0"/>
        <w:spacing w:after="240" w:line="276" w:lineRule="auto"/>
        <w:jc w:val="both"/>
        <w:rPr>
          <w:rFonts w:ascii="Arial" w:hAnsi="Arial" w:cs="Arial"/>
          <w:sz w:val="22"/>
          <w:szCs w:val="22"/>
          <w:lang w:val="en-GB"/>
        </w:rPr>
      </w:pPr>
    </w:p>
    <w:p w14:paraId="13B7116C" w14:textId="53C5B5E1" w:rsidR="00A5244F" w:rsidRPr="000A4607" w:rsidRDefault="00A5244F" w:rsidP="00417A10">
      <w:pPr>
        <w:pStyle w:val="ListParagraph"/>
        <w:widowControl w:val="0"/>
        <w:numPr>
          <w:ilvl w:val="0"/>
          <w:numId w:val="6"/>
        </w:numPr>
        <w:tabs>
          <w:tab w:val="left" w:pos="220"/>
          <w:tab w:val="left" w:pos="720"/>
        </w:tabs>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Odobravati predlog</w:t>
      </w:r>
      <w:r w:rsidR="00F03A61">
        <w:rPr>
          <w:rFonts w:ascii="Arial" w:hAnsi="Arial" w:cs="Arial"/>
          <w:sz w:val="22"/>
          <w:szCs w:val="22"/>
          <w:lang w:val="en-GB"/>
        </w:rPr>
        <w:t>e</w:t>
      </w:r>
      <w:r w:rsidRPr="000A4607">
        <w:rPr>
          <w:rFonts w:ascii="Arial" w:hAnsi="Arial" w:cs="Arial"/>
          <w:sz w:val="22"/>
          <w:szCs w:val="22"/>
          <w:lang w:val="en-GB"/>
        </w:rPr>
        <w:t xml:space="preserve"> JPP projekta; </w:t>
      </w:r>
    </w:p>
    <w:p w14:paraId="46A74A3F" w14:textId="77777777" w:rsidR="00E62CEC" w:rsidRPr="000A4607" w:rsidRDefault="00E62CEC" w:rsidP="00417A10">
      <w:pPr>
        <w:pStyle w:val="ListParagraph"/>
        <w:widowControl w:val="0"/>
        <w:tabs>
          <w:tab w:val="left" w:pos="220"/>
          <w:tab w:val="left" w:pos="720"/>
        </w:tabs>
        <w:autoSpaceDE w:val="0"/>
        <w:autoSpaceDN w:val="0"/>
        <w:adjustRightInd w:val="0"/>
        <w:spacing w:after="240" w:line="276" w:lineRule="auto"/>
        <w:jc w:val="both"/>
        <w:rPr>
          <w:rFonts w:ascii="Arial" w:hAnsi="Arial" w:cs="Arial"/>
          <w:sz w:val="22"/>
          <w:szCs w:val="22"/>
          <w:lang w:val="en-GB"/>
        </w:rPr>
      </w:pPr>
    </w:p>
    <w:p w14:paraId="775380D9" w14:textId="349D1398" w:rsidR="00EC64EA" w:rsidRDefault="00134D6B" w:rsidP="00417A10">
      <w:pPr>
        <w:pStyle w:val="ListParagraph"/>
        <w:widowControl w:val="0"/>
        <w:numPr>
          <w:ilvl w:val="0"/>
          <w:numId w:val="6"/>
        </w:numPr>
        <w:tabs>
          <w:tab w:val="left" w:pos="220"/>
          <w:tab w:val="left" w:pos="720"/>
        </w:tabs>
        <w:autoSpaceDE w:val="0"/>
        <w:autoSpaceDN w:val="0"/>
        <w:adjustRightInd w:val="0"/>
        <w:spacing w:line="276" w:lineRule="auto"/>
        <w:ind w:left="714" w:hanging="357"/>
        <w:jc w:val="both"/>
        <w:rPr>
          <w:rFonts w:ascii="Arial" w:hAnsi="Arial" w:cs="Arial"/>
          <w:sz w:val="22"/>
          <w:szCs w:val="22"/>
          <w:lang w:val="en-GB"/>
        </w:rPr>
      </w:pPr>
      <w:r w:rsidRPr="000A4607">
        <w:rPr>
          <w:rFonts w:ascii="Arial" w:hAnsi="Arial" w:cs="Arial"/>
          <w:sz w:val="22"/>
          <w:szCs w:val="22"/>
          <w:lang w:val="en-GB"/>
        </w:rPr>
        <w:t xml:space="preserve">Voditi registar ugovora o JPP i koncesijama; </w:t>
      </w:r>
    </w:p>
    <w:p w14:paraId="16403AD0" w14:textId="77777777" w:rsidR="00EC64EA" w:rsidRPr="000A4607" w:rsidRDefault="00EC64EA" w:rsidP="00417A10">
      <w:pPr>
        <w:widowControl w:val="0"/>
        <w:tabs>
          <w:tab w:val="left" w:pos="220"/>
          <w:tab w:val="left" w:pos="720"/>
        </w:tabs>
        <w:autoSpaceDE w:val="0"/>
        <w:autoSpaceDN w:val="0"/>
        <w:adjustRightInd w:val="0"/>
        <w:spacing w:line="276" w:lineRule="auto"/>
        <w:jc w:val="both"/>
        <w:rPr>
          <w:rFonts w:ascii="Arial" w:hAnsi="Arial" w:cs="Arial"/>
          <w:sz w:val="22"/>
          <w:szCs w:val="22"/>
          <w:lang w:val="en-GB"/>
        </w:rPr>
      </w:pPr>
    </w:p>
    <w:p w14:paraId="12E5FAF9" w14:textId="606F0EA4" w:rsidR="00C80DE2" w:rsidRDefault="00EC64EA" w:rsidP="00417A10">
      <w:pPr>
        <w:pStyle w:val="ListParagraph"/>
        <w:widowControl w:val="0"/>
        <w:numPr>
          <w:ilvl w:val="0"/>
          <w:numId w:val="6"/>
        </w:numPr>
        <w:tabs>
          <w:tab w:val="left" w:pos="220"/>
          <w:tab w:val="left" w:pos="720"/>
        </w:tabs>
        <w:autoSpaceDE w:val="0"/>
        <w:autoSpaceDN w:val="0"/>
        <w:adjustRightInd w:val="0"/>
        <w:spacing w:line="276" w:lineRule="auto"/>
        <w:ind w:left="714" w:hanging="357"/>
        <w:jc w:val="both"/>
        <w:rPr>
          <w:rFonts w:ascii="Arial" w:hAnsi="Arial" w:cs="Arial"/>
          <w:sz w:val="22"/>
          <w:szCs w:val="22"/>
          <w:lang w:val="en-GB"/>
        </w:rPr>
      </w:pPr>
      <w:r w:rsidRPr="000A4607">
        <w:rPr>
          <w:rFonts w:ascii="Arial" w:hAnsi="Arial" w:cs="Arial"/>
          <w:sz w:val="22"/>
          <w:szCs w:val="22"/>
          <w:lang w:val="en-GB"/>
        </w:rPr>
        <w:t>Vršiti monitorin</w:t>
      </w:r>
      <w:r w:rsidR="00C80DE2">
        <w:rPr>
          <w:rFonts w:ascii="Arial" w:hAnsi="Arial" w:cs="Arial"/>
          <w:sz w:val="22"/>
          <w:szCs w:val="22"/>
          <w:lang w:val="en-GB"/>
        </w:rPr>
        <w:t xml:space="preserve">g nad sprovođenjem JPP ugovora; </w:t>
      </w:r>
    </w:p>
    <w:p w14:paraId="1F91A330" w14:textId="77777777" w:rsidR="00C80DE2" w:rsidRPr="00C80DE2" w:rsidRDefault="00C80DE2" w:rsidP="00417A10">
      <w:pPr>
        <w:widowControl w:val="0"/>
        <w:tabs>
          <w:tab w:val="left" w:pos="220"/>
          <w:tab w:val="left" w:pos="720"/>
        </w:tabs>
        <w:autoSpaceDE w:val="0"/>
        <w:autoSpaceDN w:val="0"/>
        <w:adjustRightInd w:val="0"/>
        <w:spacing w:line="276" w:lineRule="auto"/>
        <w:jc w:val="both"/>
        <w:rPr>
          <w:rFonts w:ascii="Arial" w:hAnsi="Arial" w:cs="Arial"/>
          <w:sz w:val="22"/>
          <w:szCs w:val="22"/>
          <w:lang w:val="en-GB"/>
        </w:rPr>
      </w:pPr>
    </w:p>
    <w:p w14:paraId="04877CC3" w14:textId="1FF1B5EB" w:rsidR="00BA70F5" w:rsidRDefault="00C91BCA" w:rsidP="00417A10">
      <w:pPr>
        <w:pStyle w:val="ListParagraph"/>
        <w:widowControl w:val="0"/>
        <w:numPr>
          <w:ilvl w:val="0"/>
          <w:numId w:val="6"/>
        </w:numPr>
        <w:tabs>
          <w:tab w:val="left" w:pos="220"/>
          <w:tab w:val="left" w:pos="720"/>
        </w:tabs>
        <w:autoSpaceDE w:val="0"/>
        <w:autoSpaceDN w:val="0"/>
        <w:adjustRightInd w:val="0"/>
        <w:spacing w:line="276" w:lineRule="auto"/>
        <w:ind w:left="714" w:hanging="357"/>
        <w:jc w:val="both"/>
        <w:rPr>
          <w:rFonts w:ascii="Arial" w:hAnsi="Arial" w:cs="Arial"/>
          <w:sz w:val="22"/>
          <w:szCs w:val="22"/>
          <w:lang w:val="en-GB"/>
        </w:rPr>
      </w:pPr>
      <w:r>
        <w:rPr>
          <w:rFonts w:ascii="Arial" w:hAnsi="Arial" w:cs="Arial"/>
          <w:sz w:val="22"/>
          <w:szCs w:val="22"/>
          <w:lang w:val="en-GB"/>
        </w:rPr>
        <w:t>Obezbjeđivati obuku za zaposlene u državnim organima i</w:t>
      </w:r>
      <w:r w:rsidR="00E17C11">
        <w:rPr>
          <w:rFonts w:ascii="Arial" w:hAnsi="Arial" w:cs="Arial"/>
          <w:sz w:val="22"/>
          <w:szCs w:val="22"/>
          <w:lang w:val="en-GB"/>
        </w:rPr>
        <w:t xml:space="preserve"> lokalnim</w:t>
      </w:r>
      <w:r>
        <w:rPr>
          <w:rFonts w:ascii="Arial" w:hAnsi="Arial" w:cs="Arial"/>
          <w:sz w:val="22"/>
          <w:szCs w:val="22"/>
          <w:lang w:val="en-GB"/>
        </w:rPr>
        <w:t xml:space="preserve"> samoupravama uključene u JPP</w:t>
      </w:r>
      <w:r w:rsidR="00BA70F5">
        <w:rPr>
          <w:rFonts w:ascii="Arial" w:hAnsi="Arial" w:cs="Arial"/>
          <w:sz w:val="22"/>
          <w:szCs w:val="22"/>
          <w:lang w:val="en-GB"/>
        </w:rPr>
        <w:t xml:space="preserve">; </w:t>
      </w:r>
    </w:p>
    <w:p w14:paraId="6467D3B7" w14:textId="77777777" w:rsidR="00DA7C31" w:rsidRPr="00DA7C31" w:rsidRDefault="00DA7C31" w:rsidP="00417A10">
      <w:pPr>
        <w:widowControl w:val="0"/>
        <w:tabs>
          <w:tab w:val="left" w:pos="220"/>
          <w:tab w:val="left" w:pos="720"/>
        </w:tabs>
        <w:autoSpaceDE w:val="0"/>
        <w:autoSpaceDN w:val="0"/>
        <w:adjustRightInd w:val="0"/>
        <w:spacing w:line="276" w:lineRule="auto"/>
        <w:jc w:val="both"/>
        <w:rPr>
          <w:rFonts w:ascii="Arial" w:hAnsi="Arial" w:cs="Arial"/>
          <w:sz w:val="22"/>
          <w:szCs w:val="22"/>
          <w:lang w:val="en-GB"/>
        </w:rPr>
      </w:pPr>
    </w:p>
    <w:p w14:paraId="391E8F2F" w14:textId="69FBB19D" w:rsidR="00DA7C31" w:rsidRDefault="00DA7C31" w:rsidP="00417A10">
      <w:pPr>
        <w:pStyle w:val="ListParagraph"/>
        <w:widowControl w:val="0"/>
        <w:numPr>
          <w:ilvl w:val="0"/>
          <w:numId w:val="6"/>
        </w:numPr>
        <w:tabs>
          <w:tab w:val="left" w:pos="220"/>
          <w:tab w:val="left" w:pos="720"/>
        </w:tabs>
        <w:autoSpaceDE w:val="0"/>
        <w:autoSpaceDN w:val="0"/>
        <w:adjustRightInd w:val="0"/>
        <w:spacing w:line="276" w:lineRule="auto"/>
        <w:ind w:left="714" w:hanging="357"/>
        <w:jc w:val="both"/>
        <w:rPr>
          <w:rFonts w:ascii="Arial" w:hAnsi="Arial" w:cs="Arial"/>
          <w:sz w:val="22"/>
          <w:szCs w:val="22"/>
          <w:lang w:val="en-GB"/>
        </w:rPr>
      </w:pPr>
      <w:r>
        <w:rPr>
          <w:rFonts w:ascii="Arial" w:hAnsi="Arial" w:cs="Arial"/>
          <w:sz w:val="22"/>
          <w:szCs w:val="22"/>
          <w:lang w:val="en-GB"/>
        </w:rPr>
        <w:t xml:space="preserve">Promovisati JPP koncept u zemlji i inostranstvu; </w:t>
      </w:r>
    </w:p>
    <w:p w14:paraId="77D9D43C" w14:textId="77777777" w:rsidR="00DA7C31" w:rsidRPr="00DA7C31" w:rsidRDefault="00DA7C31" w:rsidP="00417A10">
      <w:pPr>
        <w:widowControl w:val="0"/>
        <w:tabs>
          <w:tab w:val="left" w:pos="220"/>
          <w:tab w:val="left" w:pos="720"/>
        </w:tabs>
        <w:autoSpaceDE w:val="0"/>
        <w:autoSpaceDN w:val="0"/>
        <w:adjustRightInd w:val="0"/>
        <w:spacing w:line="276" w:lineRule="auto"/>
        <w:jc w:val="both"/>
        <w:rPr>
          <w:rFonts w:ascii="Arial" w:hAnsi="Arial" w:cs="Arial"/>
          <w:sz w:val="22"/>
          <w:szCs w:val="22"/>
          <w:lang w:val="en-GB"/>
        </w:rPr>
      </w:pPr>
    </w:p>
    <w:p w14:paraId="5E9DE233" w14:textId="08C4356A" w:rsidR="00DA7C31" w:rsidRDefault="004C3FEB" w:rsidP="00417A10">
      <w:pPr>
        <w:pStyle w:val="ListParagraph"/>
        <w:widowControl w:val="0"/>
        <w:numPr>
          <w:ilvl w:val="0"/>
          <w:numId w:val="6"/>
        </w:numPr>
        <w:tabs>
          <w:tab w:val="left" w:pos="220"/>
          <w:tab w:val="left" w:pos="720"/>
        </w:tabs>
        <w:autoSpaceDE w:val="0"/>
        <w:autoSpaceDN w:val="0"/>
        <w:adjustRightInd w:val="0"/>
        <w:spacing w:line="276" w:lineRule="auto"/>
        <w:ind w:left="714" w:hanging="357"/>
        <w:jc w:val="both"/>
        <w:rPr>
          <w:rFonts w:ascii="Arial" w:hAnsi="Arial" w:cs="Arial"/>
          <w:sz w:val="22"/>
          <w:szCs w:val="22"/>
          <w:lang w:val="en-GB"/>
        </w:rPr>
      </w:pPr>
      <w:r>
        <w:rPr>
          <w:rFonts w:ascii="Arial" w:hAnsi="Arial" w:cs="Arial"/>
          <w:sz w:val="22"/>
          <w:szCs w:val="22"/>
          <w:lang w:val="en-GB"/>
        </w:rPr>
        <w:t>V</w:t>
      </w:r>
      <w:r w:rsidR="00842DAA">
        <w:rPr>
          <w:rFonts w:ascii="Arial" w:hAnsi="Arial" w:cs="Arial"/>
          <w:sz w:val="22"/>
          <w:szCs w:val="22"/>
          <w:lang w:val="en-GB"/>
        </w:rPr>
        <w:t xml:space="preserve">ršiti evaluaciju JPP projekata. </w:t>
      </w:r>
    </w:p>
    <w:p w14:paraId="39559BC0" w14:textId="77777777" w:rsidR="00BA70F5" w:rsidRPr="00D4755D" w:rsidRDefault="00BA70F5" w:rsidP="00D4755D">
      <w:pPr>
        <w:widowControl w:val="0"/>
        <w:tabs>
          <w:tab w:val="left" w:pos="220"/>
          <w:tab w:val="left" w:pos="720"/>
        </w:tabs>
        <w:autoSpaceDE w:val="0"/>
        <w:autoSpaceDN w:val="0"/>
        <w:adjustRightInd w:val="0"/>
        <w:spacing w:after="240"/>
        <w:jc w:val="both"/>
        <w:rPr>
          <w:rFonts w:ascii="Arial" w:hAnsi="Arial" w:cs="Arial"/>
          <w:sz w:val="22"/>
          <w:szCs w:val="22"/>
          <w:lang w:val="en-GB"/>
        </w:rPr>
      </w:pPr>
    </w:p>
    <w:p w14:paraId="453F90C8" w14:textId="3958CEA6" w:rsidR="00031BB2" w:rsidRPr="000A4607" w:rsidRDefault="00031BB2" w:rsidP="00031BB2">
      <w:pPr>
        <w:widowControl w:val="0"/>
        <w:tabs>
          <w:tab w:val="left" w:pos="220"/>
          <w:tab w:val="left" w:pos="720"/>
        </w:tabs>
        <w:autoSpaceDE w:val="0"/>
        <w:autoSpaceDN w:val="0"/>
        <w:adjustRightInd w:val="0"/>
        <w:jc w:val="both"/>
        <w:rPr>
          <w:rFonts w:ascii="Arial" w:hAnsi="Arial" w:cs="Arial"/>
          <w:sz w:val="22"/>
          <w:szCs w:val="22"/>
          <w:lang w:val="en-GB"/>
        </w:rPr>
      </w:pPr>
    </w:p>
    <w:p w14:paraId="0B0DE761" w14:textId="08A6E819" w:rsidR="00E62CEC" w:rsidRPr="000A4607" w:rsidRDefault="00E62CEC">
      <w:pPr>
        <w:rPr>
          <w:rFonts w:ascii="Arial" w:hAnsi="Arial" w:cs="Arial"/>
          <w:b/>
          <w:color w:val="4F81BD" w:themeColor="accent1"/>
          <w:sz w:val="22"/>
          <w:szCs w:val="22"/>
          <w:lang w:val="en-GB"/>
        </w:rPr>
      </w:pPr>
      <w:r w:rsidRPr="000A4607">
        <w:rPr>
          <w:rFonts w:ascii="Arial" w:hAnsi="Arial" w:cs="Arial"/>
          <w:b/>
          <w:color w:val="4F81BD" w:themeColor="accent1"/>
          <w:sz w:val="22"/>
          <w:szCs w:val="22"/>
          <w:lang w:val="en-GB"/>
        </w:rPr>
        <w:br w:type="page"/>
      </w:r>
    </w:p>
    <w:p w14:paraId="4AB8E1C3" w14:textId="1F86A252" w:rsidR="00694C10" w:rsidRPr="000A4607" w:rsidRDefault="00C164C8" w:rsidP="00015958">
      <w:pPr>
        <w:widowControl w:val="0"/>
        <w:autoSpaceDE w:val="0"/>
        <w:autoSpaceDN w:val="0"/>
        <w:adjustRightInd w:val="0"/>
        <w:spacing w:after="240" w:line="276" w:lineRule="auto"/>
        <w:jc w:val="both"/>
        <w:rPr>
          <w:rFonts w:ascii="Arial" w:hAnsi="Arial" w:cs="Arial"/>
          <w:b/>
          <w:color w:val="4F81BD" w:themeColor="accent1"/>
          <w:sz w:val="22"/>
          <w:szCs w:val="22"/>
          <w:lang w:val="en-GB"/>
        </w:rPr>
      </w:pPr>
      <w:r w:rsidRPr="000A4607">
        <w:rPr>
          <w:rFonts w:ascii="Arial" w:hAnsi="Arial" w:cs="Arial"/>
          <w:b/>
          <w:color w:val="4F81BD" w:themeColor="accent1"/>
          <w:sz w:val="22"/>
          <w:szCs w:val="22"/>
          <w:lang w:val="en-GB"/>
        </w:rPr>
        <w:t xml:space="preserve">Literatura i izvori: </w:t>
      </w:r>
    </w:p>
    <w:p w14:paraId="54C7C30F" w14:textId="214F7678" w:rsidR="009E7F3B" w:rsidRPr="000A4607" w:rsidRDefault="009E7F3B" w:rsidP="00015958">
      <w:pPr>
        <w:widowControl w:val="0"/>
        <w:autoSpaceDE w:val="0"/>
        <w:autoSpaceDN w:val="0"/>
        <w:adjustRightInd w:val="0"/>
        <w:spacing w:after="240" w:line="276" w:lineRule="auto"/>
        <w:jc w:val="both"/>
        <w:rPr>
          <w:rFonts w:ascii="Arial" w:hAnsi="Arial"/>
          <w:sz w:val="22"/>
          <w:szCs w:val="22"/>
          <w:lang w:val="en-GB"/>
        </w:rPr>
      </w:pPr>
      <w:r w:rsidRPr="000A4607">
        <w:rPr>
          <w:rFonts w:ascii="Arial" w:hAnsi="Arial"/>
          <w:sz w:val="22"/>
          <w:szCs w:val="22"/>
          <w:lang w:val="en-GB"/>
        </w:rPr>
        <w:t xml:space="preserve">Dedicated Public-Private Partnership Units, </w:t>
      </w:r>
      <w:r w:rsidR="00B35FFA" w:rsidRPr="000A4607">
        <w:rPr>
          <w:rFonts w:ascii="Arial" w:hAnsi="Arial"/>
          <w:sz w:val="22"/>
          <w:szCs w:val="22"/>
          <w:lang w:val="en-GB"/>
        </w:rPr>
        <w:t xml:space="preserve">A Survey </w:t>
      </w:r>
      <w:r w:rsidR="001D234A" w:rsidRPr="000A4607">
        <w:rPr>
          <w:rFonts w:ascii="Arial" w:hAnsi="Arial"/>
          <w:sz w:val="22"/>
          <w:szCs w:val="22"/>
          <w:lang w:val="en-GB"/>
        </w:rPr>
        <w:t xml:space="preserve">of Institutional </w:t>
      </w:r>
      <w:r w:rsidR="00422ED3" w:rsidRPr="000A4607">
        <w:rPr>
          <w:rFonts w:ascii="Arial" w:hAnsi="Arial"/>
          <w:sz w:val="22"/>
          <w:szCs w:val="22"/>
          <w:lang w:val="en-GB"/>
        </w:rPr>
        <w:t xml:space="preserve">and Governance Structures, </w:t>
      </w:r>
      <w:r w:rsidR="004B3135" w:rsidRPr="000A4607">
        <w:rPr>
          <w:rFonts w:ascii="Arial" w:hAnsi="Arial"/>
          <w:sz w:val="22"/>
          <w:szCs w:val="22"/>
          <w:lang w:val="en-GB"/>
        </w:rPr>
        <w:t xml:space="preserve">OECD, 2012 </w:t>
      </w:r>
    </w:p>
    <w:p w14:paraId="4D5A8EF1" w14:textId="7C416563" w:rsidR="000A3AD8" w:rsidRPr="000A4607" w:rsidRDefault="00675519"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w:t>
      </w:r>
      <w:r w:rsidR="000A3AD8" w:rsidRPr="000A4607">
        <w:rPr>
          <w:rFonts w:ascii="Arial" w:hAnsi="Arial" w:cs="Arial"/>
          <w:sz w:val="22"/>
          <w:szCs w:val="22"/>
          <w:lang w:val="en-GB"/>
        </w:rPr>
        <w:t>Guidelines for Successful Public-Private Partnerships”, European Commission, 2003</w:t>
      </w:r>
    </w:p>
    <w:p w14:paraId="536DBEC0" w14:textId="31FCBF69" w:rsidR="00526A6C" w:rsidRPr="000A4607" w:rsidRDefault="00050C85" w:rsidP="00015958">
      <w:pPr>
        <w:widowControl w:val="0"/>
        <w:autoSpaceDE w:val="0"/>
        <w:autoSpaceDN w:val="0"/>
        <w:adjustRightInd w:val="0"/>
        <w:spacing w:after="240" w:line="276" w:lineRule="auto"/>
        <w:jc w:val="both"/>
        <w:rPr>
          <w:rFonts w:ascii="Arial" w:hAnsi="Arial"/>
          <w:sz w:val="22"/>
          <w:szCs w:val="22"/>
          <w:lang w:val="en-GB"/>
        </w:rPr>
      </w:pPr>
      <w:r w:rsidRPr="000A4607">
        <w:rPr>
          <w:rFonts w:ascii="Arial" w:hAnsi="Arial" w:cs="Arial"/>
          <w:sz w:val="22"/>
          <w:szCs w:val="22"/>
          <w:lang w:val="en-GB"/>
        </w:rPr>
        <w:t>“</w:t>
      </w:r>
      <w:r w:rsidR="00526A6C" w:rsidRPr="000A4607">
        <w:rPr>
          <w:rFonts w:ascii="Arial" w:hAnsi="Arial" w:cs="Arial"/>
          <w:sz w:val="22"/>
          <w:szCs w:val="22"/>
          <w:lang w:val="en-GB"/>
        </w:rPr>
        <w:t>Javno-privatna partnerstva u Crnoj Gori –</w:t>
      </w:r>
      <w:r w:rsidR="00960509" w:rsidRPr="000A4607">
        <w:rPr>
          <w:rFonts w:ascii="Arial" w:hAnsi="Arial" w:cs="Arial"/>
          <w:sz w:val="22"/>
          <w:szCs w:val="22"/>
          <w:lang w:val="en-GB"/>
        </w:rPr>
        <w:t xml:space="preserve"> odgovornost, transparentnost i </w:t>
      </w:r>
      <w:r w:rsidR="00526A6C" w:rsidRPr="000A4607">
        <w:rPr>
          <w:rFonts w:ascii="Arial" w:hAnsi="Arial" w:cs="Arial"/>
          <w:sz w:val="22"/>
          <w:szCs w:val="22"/>
          <w:lang w:val="en-GB"/>
        </w:rPr>
        <w:t>efikasnost</w:t>
      </w:r>
      <w:r w:rsidRPr="000A4607">
        <w:rPr>
          <w:rFonts w:ascii="Arial" w:hAnsi="Arial" w:cs="Arial"/>
          <w:sz w:val="22"/>
          <w:szCs w:val="22"/>
          <w:lang w:val="en-GB"/>
        </w:rPr>
        <w:t>”</w:t>
      </w:r>
      <w:r w:rsidR="00960509" w:rsidRPr="000A4607">
        <w:rPr>
          <w:rFonts w:ascii="Arial" w:hAnsi="Arial" w:cs="Arial"/>
          <w:sz w:val="22"/>
          <w:szCs w:val="22"/>
          <w:lang w:val="en-GB"/>
        </w:rPr>
        <w:t xml:space="preserve">, Institut alternativa, 2010. </w:t>
      </w:r>
    </w:p>
    <w:p w14:paraId="2EA51BCC" w14:textId="71BF26A3" w:rsidR="0000103C" w:rsidRPr="000A4607" w:rsidRDefault="0000103C" w:rsidP="00015958">
      <w:pPr>
        <w:widowControl w:val="0"/>
        <w:autoSpaceDE w:val="0"/>
        <w:autoSpaceDN w:val="0"/>
        <w:adjustRightInd w:val="0"/>
        <w:spacing w:after="240" w:line="276" w:lineRule="auto"/>
        <w:jc w:val="both"/>
        <w:rPr>
          <w:rFonts w:ascii="Arial" w:hAnsi="Arial"/>
          <w:sz w:val="22"/>
          <w:szCs w:val="22"/>
          <w:lang w:val="en-GB"/>
        </w:rPr>
      </w:pPr>
      <w:r w:rsidRPr="000A4607">
        <w:rPr>
          <w:rFonts w:ascii="Arial" w:hAnsi="Arial"/>
          <w:sz w:val="22"/>
          <w:szCs w:val="22"/>
          <w:lang w:val="en-GB"/>
        </w:rPr>
        <w:t>Montenegro 2013 Progress Report</w:t>
      </w:r>
    </w:p>
    <w:p w14:paraId="7ED0E017" w14:textId="78BA664E" w:rsidR="00E41666" w:rsidRPr="000A4607" w:rsidRDefault="00E41666"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sz w:val="22"/>
          <w:szCs w:val="22"/>
          <w:lang w:val="en-GB"/>
        </w:rPr>
        <w:t>Montenegro 2011 SIGMA Assessment</w:t>
      </w:r>
    </w:p>
    <w:p w14:paraId="1937748F" w14:textId="7F7F523C" w:rsidR="00694C10" w:rsidRPr="000A4607" w:rsidRDefault="00C164C8"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“The legal framework for public-private partnerships (PPPs) and concessions in transition countries: evolution and trends”, EBRD, 2012</w:t>
      </w:r>
    </w:p>
    <w:p w14:paraId="5D222D5F" w14:textId="31B9D85F" w:rsidR="00A7632C" w:rsidRPr="000A4607" w:rsidRDefault="00A7632C" w:rsidP="00015958">
      <w:pPr>
        <w:widowControl w:val="0"/>
        <w:autoSpaceDE w:val="0"/>
        <w:autoSpaceDN w:val="0"/>
        <w:adjustRightInd w:val="0"/>
        <w:spacing w:after="240" w:line="276" w:lineRule="auto"/>
        <w:jc w:val="both"/>
        <w:rPr>
          <w:rFonts w:ascii="Arial" w:hAnsi="Arial" w:cs="Arial"/>
          <w:i/>
          <w:sz w:val="22"/>
          <w:szCs w:val="22"/>
          <w:lang w:val="en-GB"/>
        </w:rPr>
      </w:pPr>
      <w:r w:rsidRPr="000A4607">
        <w:rPr>
          <w:rFonts w:ascii="Arial" w:hAnsi="Arial" w:cs="Arial"/>
          <w:i/>
          <w:sz w:val="22"/>
          <w:szCs w:val="22"/>
          <w:lang w:val="en-GB"/>
        </w:rPr>
        <w:t>Zakoni</w:t>
      </w:r>
      <w:r w:rsidR="00694C10" w:rsidRPr="000A4607">
        <w:rPr>
          <w:rFonts w:ascii="Arial" w:hAnsi="Arial" w:cs="Arial"/>
          <w:i/>
          <w:sz w:val="22"/>
          <w:szCs w:val="22"/>
          <w:lang w:val="en-GB"/>
        </w:rPr>
        <w:t>, izvještaji</w:t>
      </w:r>
      <w:r w:rsidRPr="000A4607">
        <w:rPr>
          <w:rFonts w:ascii="Arial" w:hAnsi="Arial" w:cs="Arial"/>
          <w:i/>
          <w:sz w:val="22"/>
          <w:szCs w:val="22"/>
          <w:lang w:val="en-GB"/>
        </w:rPr>
        <w:t xml:space="preserve"> i strateški dokumenti: </w:t>
      </w:r>
    </w:p>
    <w:p w14:paraId="41AE88E2" w14:textId="397236EF" w:rsidR="00694C10" w:rsidRPr="00A46DFF" w:rsidRDefault="00694C10" w:rsidP="00015958">
      <w:pPr>
        <w:widowControl w:val="0"/>
        <w:autoSpaceDE w:val="0"/>
        <w:autoSpaceDN w:val="0"/>
        <w:adjustRightInd w:val="0"/>
        <w:spacing w:after="240" w:line="276" w:lineRule="auto"/>
        <w:jc w:val="both"/>
        <w:rPr>
          <w:rFonts w:ascii="Arial" w:hAnsi="Arial"/>
          <w:sz w:val="22"/>
          <w:szCs w:val="22"/>
          <w:lang w:val="en-GB"/>
        </w:rPr>
      </w:pPr>
      <w:r w:rsidRPr="00A46DFF">
        <w:rPr>
          <w:rFonts w:ascii="Arial" w:hAnsi="Arial"/>
          <w:sz w:val="22"/>
          <w:szCs w:val="22"/>
          <w:lang w:val="en-GB"/>
        </w:rPr>
        <w:t xml:space="preserve">Izvještaj o radu Komisije za koncesije za 2013. </w:t>
      </w:r>
      <w:r w:rsidR="00A46DFF">
        <w:rPr>
          <w:rFonts w:ascii="Arial" w:hAnsi="Arial"/>
          <w:sz w:val="22"/>
          <w:szCs w:val="22"/>
          <w:lang w:val="en-GB"/>
        </w:rPr>
        <w:t>g</w:t>
      </w:r>
      <w:r w:rsidRPr="00A46DFF">
        <w:rPr>
          <w:rFonts w:ascii="Arial" w:hAnsi="Arial"/>
          <w:sz w:val="22"/>
          <w:szCs w:val="22"/>
          <w:lang w:val="en-GB"/>
        </w:rPr>
        <w:t>odinu</w:t>
      </w:r>
    </w:p>
    <w:p w14:paraId="3218A3BF" w14:textId="5B7C5F7F" w:rsidR="00A46DFF" w:rsidRPr="00A46DFF" w:rsidRDefault="00A46DFF" w:rsidP="00015958">
      <w:pPr>
        <w:widowControl w:val="0"/>
        <w:autoSpaceDE w:val="0"/>
        <w:autoSpaceDN w:val="0"/>
        <w:adjustRightInd w:val="0"/>
        <w:spacing w:after="240" w:line="276" w:lineRule="auto"/>
        <w:jc w:val="both"/>
        <w:rPr>
          <w:rFonts w:ascii="Arial" w:hAnsi="Arial"/>
          <w:sz w:val="22"/>
          <w:szCs w:val="22"/>
          <w:lang w:val="en-GB"/>
        </w:rPr>
      </w:pPr>
      <w:r w:rsidRPr="00A46DFF">
        <w:rPr>
          <w:rFonts w:ascii="Arial" w:hAnsi="Arial"/>
          <w:sz w:val="22"/>
          <w:szCs w:val="22"/>
        </w:rPr>
        <w:t>Izvještaj o radu Uprave za inspekcijske poslove za 2013. godinu, mart 2014. godine</w:t>
      </w:r>
    </w:p>
    <w:p w14:paraId="3E48B6A0" w14:textId="2F0DCB6F" w:rsidR="009C733D" w:rsidRDefault="009C733D" w:rsidP="00015958">
      <w:pPr>
        <w:widowControl w:val="0"/>
        <w:autoSpaceDE w:val="0"/>
        <w:autoSpaceDN w:val="0"/>
        <w:adjustRightInd w:val="0"/>
        <w:spacing w:after="240" w:line="276" w:lineRule="auto"/>
        <w:jc w:val="both"/>
        <w:rPr>
          <w:rFonts w:ascii="Arial" w:hAnsi="Arial" w:cs="Arial"/>
          <w:sz w:val="22"/>
          <w:szCs w:val="22"/>
        </w:rPr>
      </w:pPr>
      <w:r w:rsidRPr="009C733D">
        <w:rPr>
          <w:rFonts w:ascii="Arial" w:hAnsi="Arial" w:cs="Arial"/>
          <w:sz w:val="22"/>
          <w:szCs w:val="22"/>
        </w:rPr>
        <w:t xml:space="preserve">Izvještaj o realizaciji obaveza iz koncesionih ugovora, januar 2013. </w:t>
      </w:r>
      <w:r w:rsidR="001621A9">
        <w:rPr>
          <w:rFonts w:ascii="Arial" w:hAnsi="Arial" w:cs="Arial"/>
          <w:sz w:val="22"/>
          <w:szCs w:val="22"/>
        </w:rPr>
        <w:t>g</w:t>
      </w:r>
      <w:r w:rsidRPr="009C733D">
        <w:rPr>
          <w:rFonts w:ascii="Arial" w:hAnsi="Arial" w:cs="Arial"/>
          <w:sz w:val="22"/>
          <w:szCs w:val="22"/>
        </w:rPr>
        <w:t>odine</w:t>
      </w:r>
    </w:p>
    <w:p w14:paraId="7BA35B47" w14:textId="26DC8603" w:rsidR="001621A9" w:rsidRPr="001621A9" w:rsidRDefault="001621A9" w:rsidP="00015958">
      <w:pPr>
        <w:widowControl w:val="0"/>
        <w:autoSpaceDE w:val="0"/>
        <w:autoSpaceDN w:val="0"/>
        <w:adjustRightInd w:val="0"/>
        <w:spacing w:after="240" w:line="276" w:lineRule="auto"/>
        <w:jc w:val="both"/>
        <w:rPr>
          <w:rFonts w:ascii="Arial" w:hAnsi="Arial"/>
          <w:sz w:val="22"/>
          <w:szCs w:val="22"/>
          <w:lang w:val="en-GB"/>
        </w:rPr>
      </w:pPr>
      <w:r w:rsidRPr="001621A9">
        <w:rPr>
          <w:rFonts w:ascii="Arial" w:hAnsi="Arial"/>
          <w:sz w:val="22"/>
          <w:szCs w:val="22"/>
        </w:rPr>
        <w:t>Odluka o osnivanju Komisije za koncesije i BOT aranžmane, „Službeni list RCG“, broj 48/03</w:t>
      </w:r>
    </w:p>
    <w:p w14:paraId="6769ABBD" w14:textId="20FCD927" w:rsidR="008D5B0B" w:rsidRDefault="008D5B0B" w:rsidP="00015958">
      <w:pPr>
        <w:widowControl w:val="0"/>
        <w:autoSpaceDE w:val="0"/>
        <w:autoSpaceDN w:val="0"/>
        <w:adjustRightInd w:val="0"/>
        <w:spacing w:after="240" w:line="276" w:lineRule="auto"/>
        <w:jc w:val="both"/>
        <w:rPr>
          <w:rFonts w:ascii="Arial" w:hAnsi="Arial"/>
          <w:sz w:val="22"/>
          <w:szCs w:val="22"/>
        </w:rPr>
      </w:pPr>
      <w:r w:rsidRPr="000A4607">
        <w:rPr>
          <w:rFonts w:ascii="Arial" w:hAnsi="Arial"/>
          <w:sz w:val="22"/>
          <w:szCs w:val="22"/>
          <w:lang w:val="en-GB"/>
        </w:rPr>
        <w:t xml:space="preserve">Plan privatizacije za 2014. </w:t>
      </w:r>
      <w:r w:rsidR="00B82A8E">
        <w:rPr>
          <w:rFonts w:ascii="Arial" w:hAnsi="Arial"/>
          <w:sz w:val="22"/>
          <w:szCs w:val="22"/>
        </w:rPr>
        <w:t>g</w:t>
      </w:r>
      <w:r w:rsidRPr="000A4607">
        <w:rPr>
          <w:rFonts w:ascii="Arial" w:hAnsi="Arial"/>
          <w:sz w:val="22"/>
          <w:szCs w:val="22"/>
          <w:lang w:val="en-GB"/>
        </w:rPr>
        <w:t>odinu</w:t>
      </w:r>
    </w:p>
    <w:p w14:paraId="3A0A0FFA" w14:textId="6B4DD6DA" w:rsidR="00B82A8E" w:rsidRPr="00B82A8E" w:rsidRDefault="00B82A8E" w:rsidP="00015958">
      <w:pPr>
        <w:widowControl w:val="0"/>
        <w:autoSpaceDE w:val="0"/>
        <w:autoSpaceDN w:val="0"/>
        <w:adjustRightInd w:val="0"/>
        <w:spacing w:after="240" w:line="276" w:lineRule="auto"/>
        <w:jc w:val="both"/>
        <w:rPr>
          <w:rFonts w:ascii="Arial" w:hAnsi="Arial" w:cs="Arial"/>
          <w:sz w:val="22"/>
          <w:szCs w:val="22"/>
          <w:lang w:val="en-GB"/>
        </w:rPr>
      </w:pPr>
      <w:r w:rsidRPr="00B82A8E">
        <w:rPr>
          <w:rFonts w:ascii="Arial" w:hAnsi="Arial" w:cs="Arial"/>
          <w:sz w:val="22"/>
          <w:szCs w:val="22"/>
        </w:rPr>
        <w:t>Program rada Vlade Crne Gore za 2014. godinu, januar 2014.</w:t>
      </w:r>
    </w:p>
    <w:p w14:paraId="2AD831EF" w14:textId="40BDDCB5" w:rsidR="00571851" w:rsidRPr="000A4607" w:rsidRDefault="00571851"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Public-Private Partnership Act, Bulgaria, State Gazette issue 45, 15 June 2012</w:t>
      </w:r>
    </w:p>
    <w:p w14:paraId="188C4E89" w14:textId="26D4610D" w:rsidR="009B74D3" w:rsidRPr="000A4607" w:rsidRDefault="00DF5F03"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Zakon o javno-privatnom </w:t>
      </w:r>
      <w:r w:rsidR="009B74D3" w:rsidRPr="000A4607">
        <w:rPr>
          <w:rFonts w:ascii="Arial" w:hAnsi="Arial" w:cs="Arial"/>
          <w:sz w:val="22"/>
          <w:szCs w:val="22"/>
          <w:lang w:val="en-GB"/>
        </w:rPr>
        <w:t>partnerstvu Hrvatske, NN 78/</w:t>
      </w:r>
      <w:r w:rsidRPr="000A4607">
        <w:rPr>
          <w:rFonts w:ascii="Arial" w:hAnsi="Arial" w:cs="Arial"/>
          <w:sz w:val="22"/>
          <w:szCs w:val="22"/>
          <w:lang w:val="en-GB"/>
        </w:rPr>
        <w:t xml:space="preserve">12 </w:t>
      </w:r>
    </w:p>
    <w:p w14:paraId="528CC0EF" w14:textId="5FD126FC" w:rsidR="003F482B" w:rsidRPr="000A4607" w:rsidRDefault="003F482B" w:rsidP="00015958">
      <w:pPr>
        <w:spacing w:line="276" w:lineRule="auto"/>
        <w:rPr>
          <w:rFonts w:ascii="Times" w:eastAsia="Times New Roman" w:hAnsi="Times" w:cs="Times New Roman"/>
          <w:sz w:val="20"/>
          <w:szCs w:val="20"/>
          <w:lang w:val="en-GB"/>
        </w:rPr>
      </w:pPr>
      <w:r w:rsidRPr="000A4607">
        <w:rPr>
          <w:rFonts w:ascii="Arial" w:hAnsi="Arial" w:cs="Arial"/>
          <w:sz w:val="22"/>
          <w:szCs w:val="22"/>
          <w:lang w:val="en-GB"/>
        </w:rPr>
        <w:t xml:space="preserve">Zakon o javno-privatnom partnerstvu i koncesijama Srbije, “Sl. glasnik RS”, br. 88/2011 </w:t>
      </w:r>
    </w:p>
    <w:p w14:paraId="75D17486" w14:textId="77777777" w:rsidR="003F482B" w:rsidRPr="000A4607" w:rsidRDefault="003F482B" w:rsidP="00015958">
      <w:pPr>
        <w:spacing w:line="276" w:lineRule="auto"/>
        <w:rPr>
          <w:rFonts w:ascii="Times" w:eastAsia="Times New Roman" w:hAnsi="Times" w:cs="Times New Roman"/>
          <w:sz w:val="20"/>
          <w:szCs w:val="20"/>
          <w:lang w:val="en-GB"/>
        </w:rPr>
      </w:pPr>
    </w:p>
    <w:p w14:paraId="3C48686E" w14:textId="0A24CB38" w:rsidR="00DF5F03" w:rsidRPr="000A4607" w:rsidRDefault="009B74D3"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Zakon o koncesijama Hrvatske, NN 143/12 </w:t>
      </w:r>
      <w:r w:rsidR="00DF5F03" w:rsidRPr="000A4607">
        <w:rPr>
          <w:rFonts w:ascii="Arial" w:hAnsi="Arial" w:cs="Arial"/>
          <w:sz w:val="22"/>
          <w:szCs w:val="22"/>
          <w:lang w:val="en-GB"/>
        </w:rPr>
        <w:t xml:space="preserve"> </w:t>
      </w:r>
    </w:p>
    <w:p w14:paraId="5E328F06" w14:textId="54A5CB85" w:rsidR="00381787" w:rsidRPr="00A559B9" w:rsidRDefault="00381787" w:rsidP="00015958">
      <w:pPr>
        <w:widowControl w:val="0"/>
        <w:autoSpaceDE w:val="0"/>
        <w:autoSpaceDN w:val="0"/>
        <w:adjustRightInd w:val="0"/>
        <w:spacing w:after="240" w:line="276" w:lineRule="auto"/>
        <w:jc w:val="both"/>
        <w:rPr>
          <w:rFonts w:ascii="Arial" w:hAnsi="Arial" w:cs="Arial"/>
          <w:sz w:val="22"/>
          <w:szCs w:val="22"/>
          <w:lang w:val="en-GB"/>
        </w:rPr>
      </w:pPr>
      <w:r w:rsidRPr="00A559B9">
        <w:rPr>
          <w:rFonts w:ascii="Arial" w:hAnsi="Arial" w:cs="Arial"/>
          <w:sz w:val="22"/>
          <w:szCs w:val="22"/>
          <w:lang w:val="en-GB"/>
        </w:rPr>
        <w:t>Zakon o koncesijama, Sl. list Crne Gore, br. 08/09 od 4. 2. 2009.</w:t>
      </w:r>
    </w:p>
    <w:p w14:paraId="40AF5B0A" w14:textId="22445CEF" w:rsidR="00A559B9" w:rsidRPr="00A559B9" w:rsidRDefault="00A559B9" w:rsidP="00015958">
      <w:pPr>
        <w:widowControl w:val="0"/>
        <w:autoSpaceDE w:val="0"/>
        <w:autoSpaceDN w:val="0"/>
        <w:adjustRightInd w:val="0"/>
        <w:spacing w:after="240" w:line="276" w:lineRule="auto"/>
        <w:jc w:val="both"/>
        <w:rPr>
          <w:rFonts w:ascii="Arial" w:hAnsi="Arial" w:cs="Arial"/>
          <w:sz w:val="22"/>
          <w:szCs w:val="22"/>
          <w:lang w:val="en-GB"/>
        </w:rPr>
      </w:pPr>
      <w:r w:rsidRPr="00A559B9">
        <w:rPr>
          <w:rFonts w:ascii="Arial" w:hAnsi="Arial" w:cs="Arial"/>
          <w:sz w:val="22"/>
          <w:szCs w:val="22"/>
        </w:rPr>
        <w:t>Zakon o poreskoj administraciji,"Sl. list RCG", br. 29/05</w:t>
      </w:r>
    </w:p>
    <w:p w14:paraId="7383C515" w14:textId="1A6A1F25" w:rsidR="000248C5" w:rsidRPr="000A4607" w:rsidRDefault="0022484E" w:rsidP="00015958">
      <w:pPr>
        <w:widowControl w:val="0"/>
        <w:autoSpaceDE w:val="0"/>
        <w:autoSpaceDN w:val="0"/>
        <w:adjustRightInd w:val="0"/>
        <w:spacing w:after="240" w:line="276" w:lineRule="auto"/>
        <w:jc w:val="both"/>
        <w:rPr>
          <w:rFonts w:ascii="Arial" w:hAnsi="Arial" w:cs="Arial"/>
          <w:i/>
          <w:sz w:val="22"/>
          <w:szCs w:val="22"/>
          <w:lang w:val="en-GB"/>
        </w:rPr>
      </w:pPr>
      <w:r w:rsidRPr="000A4607">
        <w:rPr>
          <w:rFonts w:ascii="Arial" w:hAnsi="Arial" w:cs="Arial"/>
          <w:i/>
          <w:sz w:val="22"/>
          <w:szCs w:val="22"/>
          <w:lang w:val="en-GB"/>
        </w:rPr>
        <w:t xml:space="preserve">Internet adrese: </w:t>
      </w:r>
    </w:p>
    <w:p w14:paraId="214F97DF" w14:textId="7F82FBFC" w:rsidR="0022484E" w:rsidRPr="000A4607" w:rsidRDefault="0022484E"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Agencija za javno-privatno partnerstvo Hrvatske - </w:t>
      </w:r>
      <w:hyperlink r:id="rId9" w:history="1">
        <w:r w:rsidRPr="000A4607">
          <w:rPr>
            <w:rStyle w:val="Hyperlink"/>
            <w:rFonts w:ascii="Arial" w:hAnsi="Arial" w:cs="Arial"/>
            <w:sz w:val="22"/>
            <w:szCs w:val="22"/>
            <w:lang w:val="en-GB"/>
          </w:rPr>
          <w:t>http://www.ajpp.hr/</w:t>
        </w:r>
      </w:hyperlink>
      <w:r w:rsidRPr="000A4607">
        <w:rPr>
          <w:rFonts w:ascii="Arial" w:hAnsi="Arial" w:cs="Arial"/>
          <w:sz w:val="22"/>
          <w:szCs w:val="22"/>
          <w:lang w:val="en-GB"/>
        </w:rPr>
        <w:t xml:space="preserve"> </w:t>
      </w:r>
    </w:p>
    <w:p w14:paraId="4A1CF6EF" w14:textId="2175050D" w:rsidR="0022484E" w:rsidRPr="000A4607" w:rsidRDefault="0022484E"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Centar za praćenje poslovanja energetskog sektora i investicija - </w:t>
      </w:r>
      <w:hyperlink r:id="rId10" w:history="1">
        <w:r w:rsidRPr="000A4607">
          <w:rPr>
            <w:rStyle w:val="Hyperlink"/>
            <w:rFonts w:ascii="Arial" w:hAnsi="Arial" w:cs="Arial"/>
            <w:sz w:val="22"/>
            <w:szCs w:val="22"/>
            <w:lang w:val="en-GB"/>
          </w:rPr>
          <w:t>http://www.cei.hr/</w:t>
        </w:r>
      </w:hyperlink>
    </w:p>
    <w:p w14:paraId="67AE07B2" w14:textId="3B1B0586" w:rsidR="0022484E" w:rsidRPr="000A4607" w:rsidRDefault="0022484E" w:rsidP="00015958">
      <w:pPr>
        <w:widowControl w:val="0"/>
        <w:autoSpaceDE w:val="0"/>
        <w:autoSpaceDN w:val="0"/>
        <w:adjustRightInd w:val="0"/>
        <w:spacing w:after="240" w:line="276" w:lineRule="auto"/>
        <w:jc w:val="both"/>
        <w:rPr>
          <w:rFonts w:ascii="Arial" w:hAnsi="Arial" w:cs="Arial"/>
          <w:sz w:val="22"/>
          <w:szCs w:val="22"/>
          <w:lang w:val="en-GB"/>
        </w:rPr>
      </w:pPr>
      <w:r w:rsidRPr="000A4607">
        <w:rPr>
          <w:rFonts w:ascii="Arial" w:hAnsi="Arial" w:cs="Arial"/>
          <w:sz w:val="22"/>
          <w:szCs w:val="22"/>
          <w:lang w:val="en-GB"/>
        </w:rPr>
        <w:t xml:space="preserve">Komisija za javno-privatno partnerstvo Srbije - </w:t>
      </w:r>
      <w:hyperlink r:id="rId11" w:history="1">
        <w:r w:rsidRPr="000A4607">
          <w:rPr>
            <w:rStyle w:val="Hyperlink"/>
            <w:rFonts w:ascii="Arial" w:hAnsi="Arial" w:cs="Arial"/>
            <w:sz w:val="22"/>
            <w:szCs w:val="22"/>
            <w:lang w:val="en-GB"/>
          </w:rPr>
          <w:t>http://www.ppp.gov.rs/</w:t>
        </w:r>
      </w:hyperlink>
    </w:p>
    <w:p w14:paraId="64D8221E" w14:textId="7CF9F652" w:rsidR="009F76B6" w:rsidRPr="000A4607" w:rsidRDefault="009F76B6" w:rsidP="00B45F1A">
      <w:pPr>
        <w:rPr>
          <w:rFonts w:ascii="Arial" w:hAnsi="Arial" w:cs="Arial"/>
          <w:sz w:val="22"/>
          <w:szCs w:val="22"/>
          <w:lang w:val="en-GB"/>
        </w:rPr>
      </w:pPr>
    </w:p>
    <w:sectPr w:rsidR="009F76B6" w:rsidRPr="000A4607" w:rsidSect="002659D0">
      <w:footerReference w:type="even" r:id="rId12"/>
      <w:footerReference w:type="default" r:id="rId13"/>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805D6" w14:textId="77777777" w:rsidR="00507175" w:rsidRDefault="00507175" w:rsidP="00892BCA">
      <w:r>
        <w:separator/>
      </w:r>
    </w:p>
  </w:endnote>
  <w:endnote w:type="continuationSeparator" w:id="0">
    <w:p w14:paraId="75E7FD54" w14:textId="77777777" w:rsidR="00507175" w:rsidRDefault="00507175" w:rsidP="0089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5FB7" w14:textId="77777777" w:rsidR="00507175" w:rsidRDefault="00507175" w:rsidP="0004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1EB0F" w14:textId="77777777" w:rsidR="00507175" w:rsidRDefault="00507175" w:rsidP="00CD79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A289" w14:textId="77777777" w:rsidR="00507175" w:rsidRPr="00CD7975" w:rsidRDefault="00507175" w:rsidP="00043A41">
    <w:pPr>
      <w:pStyle w:val="Footer"/>
      <w:framePr w:wrap="around" w:vAnchor="text" w:hAnchor="margin" w:xAlign="right" w:y="1"/>
      <w:rPr>
        <w:rStyle w:val="PageNumber"/>
        <w:rFonts w:ascii="Arial" w:hAnsi="Arial" w:cs="Arial"/>
        <w:sz w:val="22"/>
        <w:szCs w:val="22"/>
      </w:rPr>
    </w:pPr>
    <w:r w:rsidRPr="00CD7975">
      <w:rPr>
        <w:rStyle w:val="PageNumber"/>
        <w:rFonts w:ascii="Arial" w:hAnsi="Arial" w:cs="Arial"/>
        <w:sz w:val="22"/>
        <w:szCs w:val="22"/>
      </w:rPr>
      <w:fldChar w:fldCharType="begin"/>
    </w:r>
    <w:r w:rsidRPr="00CD7975">
      <w:rPr>
        <w:rStyle w:val="PageNumber"/>
        <w:rFonts w:ascii="Arial" w:hAnsi="Arial" w:cs="Arial"/>
        <w:sz w:val="22"/>
        <w:szCs w:val="22"/>
      </w:rPr>
      <w:instrText xml:space="preserve">PAGE  </w:instrText>
    </w:r>
    <w:r w:rsidRPr="00CD7975">
      <w:rPr>
        <w:rStyle w:val="PageNumber"/>
        <w:rFonts w:ascii="Arial" w:hAnsi="Arial" w:cs="Arial"/>
        <w:sz w:val="22"/>
        <w:szCs w:val="22"/>
      </w:rPr>
      <w:fldChar w:fldCharType="separate"/>
    </w:r>
    <w:r w:rsidR="00180F2B">
      <w:rPr>
        <w:rStyle w:val="PageNumber"/>
        <w:rFonts w:ascii="Arial" w:hAnsi="Arial" w:cs="Arial"/>
        <w:sz w:val="22"/>
        <w:szCs w:val="22"/>
      </w:rPr>
      <w:t>9</w:t>
    </w:r>
    <w:r w:rsidRPr="00CD7975">
      <w:rPr>
        <w:rStyle w:val="PageNumber"/>
        <w:rFonts w:ascii="Arial" w:hAnsi="Arial" w:cs="Arial"/>
        <w:sz w:val="22"/>
        <w:szCs w:val="22"/>
      </w:rPr>
      <w:fldChar w:fldCharType="end"/>
    </w:r>
  </w:p>
  <w:p w14:paraId="727AF4D6" w14:textId="77777777" w:rsidR="00507175" w:rsidRDefault="00507175" w:rsidP="00CD79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1B934" w14:textId="77777777" w:rsidR="00507175" w:rsidRDefault="00507175" w:rsidP="00892BCA">
      <w:r>
        <w:separator/>
      </w:r>
    </w:p>
  </w:footnote>
  <w:footnote w:type="continuationSeparator" w:id="0">
    <w:p w14:paraId="485217E8" w14:textId="77777777" w:rsidR="00507175" w:rsidRDefault="00507175" w:rsidP="00892BCA">
      <w:r>
        <w:continuationSeparator/>
      </w:r>
    </w:p>
  </w:footnote>
  <w:footnote w:id="1">
    <w:p w14:paraId="6DBFF307" w14:textId="2A03DB5D" w:rsidR="00507175" w:rsidRPr="00C03E10" w:rsidRDefault="00507175" w:rsidP="006132EE">
      <w:pPr>
        <w:widowControl w:val="0"/>
        <w:autoSpaceDE w:val="0"/>
        <w:autoSpaceDN w:val="0"/>
        <w:adjustRightInd w:val="0"/>
        <w:spacing w:line="276" w:lineRule="auto"/>
        <w:jc w:val="both"/>
        <w:rPr>
          <w:rFonts w:ascii="Arial" w:hAnsi="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“JPP predstavlja saradnju između javnog i privatnog sektora sa ciljem finansiranja, izgradnje, obnavljanja i upravljanja infrastukturnim objektima i sektorom usluga, tj. finansiranje projekata i usluga koje tradicionalno obezbjeđuje javni sektor. “,“Javno-privatna partnerstva u Crnoj Gori – odgovornost, transparentnost i efikasnost”, Institut alternativa, 2010., str. 6 </w:t>
      </w:r>
    </w:p>
  </w:footnote>
  <w:footnote w:id="2">
    <w:p w14:paraId="7D24F5FE" w14:textId="265EDD0F" w:rsidR="00507175" w:rsidRPr="00C03E10" w:rsidRDefault="00507175">
      <w:pPr>
        <w:pStyle w:val="FootnoteText"/>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Montenegro 2013 Progress Report, p. 17</w:t>
      </w:r>
    </w:p>
  </w:footnote>
  <w:footnote w:id="3">
    <w:p w14:paraId="323D725F" w14:textId="497F1F3D" w:rsidR="00507175" w:rsidRPr="00C03E10" w:rsidRDefault="00507175" w:rsidP="00714B26">
      <w:pPr>
        <w:pStyle w:val="FootnoteText"/>
        <w:jc w:val="both"/>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Vidjeti:  Vujica Lazović, potpredsjednik Vlade za ekonomsku politiku i finansijski sistem “Crna Gora ulazi u fazu javno-privatnog partnerstva”, Portal analitika, 16. maj 2012., dostupno na: </w:t>
      </w:r>
      <w:hyperlink r:id="rId1" w:history="1">
        <w:r w:rsidRPr="00C03E10">
          <w:rPr>
            <w:rStyle w:val="Hyperlink"/>
            <w:rFonts w:ascii="Arial" w:hAnsi="Arial"/>
            <w:sz w:val="18"/>
            <w:szCs w:val="18"/>
          </w:rPr>
          <w:t>https://portalanalitika.me/ekonomija/vijesti/61063-lazovi-crna-gora-ulazi-u-fazu-privatno-javnih-partnerstava.html</w:t>
        </w:r>
      </w:hyperlink>
      <w:r w:rsidRPr="00C03E10">
        <w:rPr>
          <w:rFonts w:ascii="Arial" w:hAnsi="Arial"/>
          <w:sz w:val="18"/>
          <w:szCs w:val="18"/>
        </w:rPr>
        <w:t xml:space="preserve"> </w:t>
      </w:r>
    </w:p>
  </w:footnote>
  <w:footnote w:id="4">
    <w:p w14:paraId="5FA8B0CF" w14:textId="0819F5AE" w:rsidR="00507175" w:rsidRPr="00C03E10" w:rsidRDefault="00507175" w:rsidP="0085047E">
      <w:pPr>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Program predviđa usvajanje Strategije i akcionog plana razvoja javno-privatnog partnerstva u zdravstvu, koji bi trebalo da budu usvojeni u  drugom kvartalu 2014. godine.Vidjeti: Program rada Vlade Crne Gore za 2014. godinu, januar 2014. </w:t>
      </w:r>
    </w:p>
  </w:footnote>
  <w:footnote w:id="5">
    <w:p w14:paraId="7A5AB83C" w14:textId="77777777" w:rsidR="00507175" w:rsidRPr="00C03E10" w:rsidRDefault="00507175" w:rsidP="00E11FEA">
      <w:pPr>
        <w:pStyle w:val="FootnoteText"/>
        <w:rPr>
          <w:sz w:val="18"/>
          <w:szCs w:val="18"/>
        </w:rPr>
      </w:pPr>
      <w:r w:rsidRPr="00C03E10">
        <w:rPr>
          <w:rStyle w:val="FootnoteReference"/>
          <w:rFonts w:ascii="Arial" w:hAnsi="Arial"/>
          <w:sz w:val="18"/>
          <w:szCs w:val="18"/>
        </w:rPr>
        <w:footnoteRef/>
      </w:r>
      <w:r w:rsidRPr="00C03E10">
        <w:rPr>
          <w:rFonts w:ascii="Arial" w:hAnsi="Arial"/>
          <w:sz w:val="18"/>
          <w:szCs w:val="18"/>
        </w:rPr>
        <w:t xml:space="preserve"> Izvještaj o radu Komisije za koncesije za 2013. godinu, str. 86</w:t>
      </w:r>
      <w:r w:rsidRPr="00C03E10">
        <w:rPr>
          <w:sz w:val="18"/>
          <w:szCs w:val="18"/>
        </w:rPr>
        <w:t xml:space="preserve"> </w:t>
      </w:r>
    </w:p>
  </w:footnote>
  <w:footnote w:id="6">
    <w:p w14:paraId="6593EB36" w14:textId="21AC5ABA" w:rsidR="00507175" w:rsidRPr="00C03E10" w:rsidRDefault="00507175" w:rsidP="0085047E">
      <w:pPr>
        <w:pStyle w:val="FootnoteText"/>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Vidjeti: Plan privatizacije za 2014. godinu, dostupno na: </w:t>
      </w:r>
      <w:hyperlink r:id="rId2" w:history="1">
        <w:r w:rsidRPr="00C03E10">
          <w:rPr>
            <w:rStyle w:val="Hyperlink"/>
            <w:rFonts w:ascii="Arial" w:hAnsi="Arial" w:cs="Arial"/>
            <w:sz w:val="18"/>
            <w:szCs w:val="18"/>
          </w:rPr>
          <w:t>http://www.gov.me/vijesti/134885/Savjet-za-privatizaciju-i-kapitalne-projekte-usvojio-Predlog-odluke-o-planu-privatizacije-za-2014-godinu.html</w:t>
        </w:r>
      </w:hyperlink>
      <w:r w:rsidRPr="00C03E10">
        <w:rPr>
          <w:rFonts w:ascii="Arial" w:hAnsi="Arial" w:cs="Arial"/>
          <w:sz w:val="18"/>
          <w:szCs w:val="18"/>
        </w:rPr>
        <w:t xml:space="preserve"> </w:t>
      </w:r>
    </w:p>
  </w:footnote>
  <w:footnote w:id="7">
    <w:p w14:paraId="76B353AD" w14:textId="02EB778E" w:rsidR="00507175" w:rsidRPr="00C03E10" w:rsidRDefault="00507175" w:rsidP="0085047E">
      <w:pPr>
        <w:widowControl w:val="0"/>
        <w:autoSpaceDE w:val="0"/>
        <w:autoSpaceDN w:val="0"/>
        <w:adjustRightInd w:val="0"/>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Zakon o koncesijama, Sl. list Crne Gore, br. 08/09 od 4. 2. 2009., primjenjuje se na oblasti rudarstva, šumarstva, vodoprivrede, obrazovanja, prevoza i pomorstva. Pored ovog Zakona, oblast koncesija je uređena i drugim zakonima i propisima kao npr. Zakonom o rudarstvu, Zakonom o vodama, Zakonom o šumama, itd</w:t>
      </w:r>
      <w:r w:rsidRPr="00C03E10">
        <w:rPr>
          <w:rFonts w:cs="Tahoma"/>
          <w:sz w:val="18"/>
          <w:szCs w:val="18"/>
        </w:rPr>
        <w:t>.</w:t>
      </w:r>
    </w:p>
  </w:footnote>
  <w:footnote w:id="8">
    <w:p w14:paraId="6C04810A" w14:textId="306F0AC5" w:rsidR="00507175" w:rsidRPr="00C03E10" w:rsidRDefault="00507175">
      <w:pPr>
        <w:pStyle w:val="FootnoteText"/>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Član 4 Zakona o koncesijama Crne Gore </w:t>
      </w:r>
    </w:p>
  </w:footnote>
  <w:footnote w:id="9">
    <w:p w14:paraId="0C2434E0" w14:textId="1F840C46" w:rsidR="00507175" w:rsidRPr="00C03E10" w:rsidRDefault="00507175" w:rsidP="00D537D1">
      <w:pPr>
        <w:pStyle w:val="FootnoteText"/>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Usvajanjem Direktive 2014/24/EU 26. februara 2014. godine o javnim nabavkama, ova direktiva je stavljena van snage.</w:t>
      </w:r>
    </w:p>
  </w:footnote>
  <w:footnote w:id="10">
    <w:p w14:paraId="1859DCD0" w14:textId="5FEA9811" w:rsidR="00507175" w:rsidRPr="00C03E10" w:rsidRDefault="00507175">
      <w:pPr>
        <w:pStyle w:val="FootnoteText"/>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Montenegro 2011 SIGMA Assessment, 2011, p. 27 </w:t>
      </w:r>
    </w:p>
  </w:footnote>
  <w:footnote w:id="11">
    <w:p w14:paraId="1AE07F26" w14:textId="567BA2BA" w:rsidR="00507175" w:rsidRPr="00747613" w:rsidRDefault="00507175">
      <w:pPr>
        <w:pStyle w:val="FootnoteText"/>
        <w:rPr>
          <w:rFonts w:ascii="Arial" w:hAnsi="Arial" w:cs="Arial"/>
          <w:sz w:val="18"/>
          <w:szCs w:val="18"/>
        </w:rPr>
      </w:pPr>
      <w:r w:rsidRPr="00747613">
        <w:rPr>
          <w:rStyle w:val="FootnoteReference"/>
          <w:rFonts w:ascii="Arial" w:hAnsi="Arial" w:cs="Arial"/>
          <w:sz w:val="18"/>
          <w:szCs w:val="18"/>
        </w:rPr>
        <w:footnoteRef/>
      </w:r>
      <w:r w:rsidRPr="00747613">
        <w:rPr>
          <w:rFonts w:ascii="Arial" w:hAnsi="Arial" w:cs="Arial"/>
          <w:sz w:val="18"/>
          <w:szCs w:val="18"/>
        </w:rPr>
        <w:t xml:space="preserve"> Ograničeni postupak i konkurentski dijalog.</w:t>
      </w:r>
    </w:p>
  </w:footnote>
  <w:footnote w:id="12">
    <w:p w14:paraId="38D892F4" w14:textId="282EB358" w:rsidR="00507175" w:rsidRPr="00747613" w:rsidRDefault="00507175">
      <w:pPr>
        <w:pStyle w:val="FootnoteText"/>
        <w:rPr>
          <w:rFonts w:ascii="Arial" w:hAnsi="Arial" w:cs="Arial"/>
          <w:sz w:val="18"/>
          <w:szCs w:val="18"/>
        </w:rPr>
      </w:pPr>
      <w:r w:rsidRPr="00747613">
        <w:rPr>
          <w:rStyle w:val="FootnoteReference"/>
          <w:rFonts w:ascii="Arial" w:hAnsi="Arial" w:cs="Arial"/>
          <w:sz w:val="18"/>
          <w:szCs w:val="18"/>
        </w:rPr>
        <w:footnoteRef/>
      </w:r>
      <w:r w:rsidRPr="00747613">
        <w:rPr>
          <w:rFonts w:ascii="Arial" w:hAnsi="Arial" w:cs="Arial"/>
          <w:sz w:val="18"/>
          <w:szCs w:val="18"/>
        </w:rPr>
        <w:t xml:space="preserve"> Montenegro 2013 Progress Report, p. 21 </w:t>
      </w:r>
    </w:p>
  </w:footnote>
  <w:footnote w:id="13">
    <w:p w14:paraId="561EC773" w14:textId="77777777" w:rsidR="00507175" w:rsidRPr="00747613" w:rsidRDefault="00507175" w:rsidP="00F73CC4">
      <w:pPr>
        <w:pStyle w:val="FootnoteText"/>
        <w:rPr>
          <w:rFonts w:ascii="Arial" w:hAnsi="Arial" w:cs="Arial"/>
          <w:sz w:val="18"/>
          <w:szCs w:val="18"/>
        </w:rPr>
      </w:pPr>
      <w:r w:rsidRPr="00747613">
        <w:rPr>
          <w:rStyle w:val="FootnoteReference"/>
          <w:rFonts w:ascii="Arial" w:hAnsi="Arial" w:cs="Arial"/>
          <w:sz w:val="18"/>
          <w:szCs w:val="18"/>
        </w:rPr>
        <w:footnoteRef/>
      </w:r>
      <w:r w:rsidRPr="00747613">
        <w:rPr>
          <w:rFonts w:ascii="Arial" w:hAnsi="Arial" w:cs="Arial"/>
          <w:sz w:val="18"/>
          <w:szCs w:val="18"/>
        </w:rPr>
        <w:t xml:space="preserve"> Izvještaj o realizaciji obaveza iz koncesionih ugovora, januar 2013.</w:t>
      </w:r>
    </w:p>
  </w:footnote>
  <w:footnote w:id="14">
    <w:p w14:paraId="75D657D9" w14:textId="77777777" w:rsidR="00507175" w:rsidRPr="00C03E10" w:rsidRDefault="00507175" w:rsidP="00F73CC4">
      <w:pPr>
        <w:pStyle w:val="FootnoteText"/>
        <w:rPr>
          <w:sz w:val="18"/>
          <w:szCs w:val="18"/>
        </w:rPr>
      </w:pPr>
      <w:r w:rsidRPr="00747613">
        <w:rPr>
          <w:rStyle w:val="FootnoteReference"/>
          <w:rFonts w:ascii="Arial" w:hAnsi="Arial" w:cs="Arial"/>
          <w:sz w:val="18"/>
          <w:szCs w:val="18"/>
        </w:rPr>
        <w:footnoteRef/>
      </w:r>
      <w:r w:rsidRPr="00747613">
        <w:rPr>
          <w:rFonts w:ascii="Arial" w:hAnsi="Arial" w:cs="Arial"/>
          <w:sz w:val="18"/>
          <w:szCs w:val="18"/>
        </w:rPr>
        <w:t xml:space="preserve"> Član 11, Zakon o koncesijama</w:t>
      </w:r>
    </w:p>
  </w:footnote>
  <w:footnote w:id="15">
    <w:p w14:paraId="3AF50E34" w14:textId="300B09C4" w:rsidR="00507175" w:rsidRPr="00C03E10" w:rsidRDefault="00507175" w:rsidP="00F73CC4">
      <w:pPr>
        <w:pStyle w:val="FootnoteText"/>
        <w:jc w:val="both"/>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Upor: Odluka o osnivanju Komisije za koncesije i BOT aranžmane, „Službeni list RCG“, broj 48/03</w:t>
      </w:r>
    </w:p>
  </w:footnote>
  <w:footnote w:id="16">
    <w:p w14:paraId="662EA9CB" w14:textId="77777777" w:rsidR="00507175" w:rsidRPr="00C03E10" w:rsidRDefault="00507175" w:rsidP="00F73CC4">
      <w:pPr>
        <w:pStyle w:val="FootnoteText"/>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Član 7, Zakona o koncesijama </w:t>
      </w:r>
    </w:p>
  </w:footnote>
  <w:footnote w:id="17">
    <w:p w14:paraId="2734C6D6" w14:textId="77777777" w:rsidR="00507175" w:rsidRPr="00C03E10" w:rsidRDefault="00507175" w:rsidP="00F73CC4">
      <w:pPr>
        <w:pStyle w:val="FootnoteText"/>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w:t>
      </w:r>
      <w:r w:rsidRPr="00C03E10">
        <w:rPr>
          <w:rFonts w:ascii="Arial" w:hAnsi="Arial" w:cs="Arial"/>
          <w:sz w:val="18"/>
          <w:szCs w:val="18"/>
        </w:rPr>
        <w:t>Zakon o poreskoj administraciji,"Sl. list RCG", br. 29/05</w:t>
      </w:r>
    </w:p>
  </w:footnote>
  <w:footnote w:id="18">
    <w:p w14:paraId="2EBCBD69" w14:textId="77777777" w:rsidR="00507175" w:rsidRPr="00C03E10" w:rsidRDefault="00507175" w:rsidP="00F73CC4">
      <w:pPr>
        <w:pStyle w:val="FootnoteText"/>
        <w:jc w:val="both"/>
        <w:rPr>
          <w:sz w:val="18"/>
          <w:szCs w:val="18"/>
        </w:rPr>
      </w:pPr>
      <w:r w:rsidRPr="00C03E10">
        <w:rPr>
          <w:rStyle w:val="FootnoteReference"/>
          <w:rFonts w:ascii="Arial" w:hAnsi="Arial"/>
          <w:sz w:val="18"/>
          <w:szCs w:val="18"/>
        </w:rPr>
        <w:footnoteRef/>
      </w:r>
      <w:r w:rsidRPr="00C03E10">
        <w:rPr>
          <w:rFonts w:ascii="Arial" w:hAnsi="Arial"/>
          <w:sz w:val="18"/>
          <w:szCs w:val="18"/>
        </w:rPr>
        <w:t xml:space="preserve"> Izvještaj o radu Uprave za inspekcijske poslove za 2013. godinu, mart 2014. godine</w:t>
      </w:r>
      <w:r w:rsidRPr="00C03E10">
        <w:rPr>
          <w:sz w:val="18"/>
          <w:szCs w:val="18"/>
        </w:rPr>
        <w:t xml:space="preserve"> </w:t>
      </w:r>
    </w:p>
  </w:footnote>
  <w:footnote w:id="19">
    <w:p w14:paraId="19BB2B6E" w14:textId="01234970" w:rsidR="00507175" w:rsidRPr="00C03E10" w:rsidRDefault="00507175" w:rsidP="00F73CC4">
      <w:pPr>
        <w:pStyle w:val="FootnoteText"/>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Montenegro 2013 Progress Report, p. 28 </w:t>
      </w:r>
    </w:p>
  </w:footnote>
  <w:footnote w:id="20">
    <w:p w14:paraId="0B9223CD" w14:textId="77777777" w:rsidR="00507175" w:rsidRPr="00C03E10" w:rsidRDefault="00507175" w:rsidP="00A559B9">
      <w:pPr>
        <w:pStyle w:val="FootnoteText"/>
        <w:jc w:val="both"/>
        <w:rPr>
          <w:rFonts w:ascii="Arial" w:hAnsi="Arial"/>
          <w:sz w:val="18"/>
          <w:szCs w:val="18"/>
        </w:rPr>
      </w:pPr>
      <w:r w:rsidRPr="00C03E10">
        <w:rPr>
          <w:rStyle w:val="FootnoteReference"/>
          <w:rFonts w:ascii="Arial" w:hAnsi="Arial"/>
          <w:sz w:val="18"/>
          <w:szCs w:val="18"/>
        </w:rPr>
        <w:footnoteRef/>
      </w:r>
      <w:r w:rsidRPr="00C03E10">
        <w:rPr>
          <w:rFonts w:ascii="Arial" w:hAnsi="Arial"/>
          <w:sz w:val="18"/>
          <w:szCs w:val="18"/>
        </w:rPr>
        <w:t xml:space="preserve"> Dostupno na sajtu Agencije za javno-privatno partnerstvo: http://www.ajpp.hr/naslovnica/registar.aspx</w:t>
      </w:r>
    </w:p>
  </w:footnote>
  <w:footnote w:id="21">
    <w:p w14:paraId="1B349F6E" w14:textId="110D3980" w:rsidR="00507175" w:rsidRPr="00C03E10" w:rsidRDefault="00507175">
      <w:pPr>
        <w:pStyle w:val="FootnoteText"/>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Izvještaj o radu Komisije za koncesije za 2013. godinu, str. 23 </w:t>
      </w:r>
    </w:p>
  </w:footnote>
  <w:footnote w:id="22">
    <w:p w14:paraId="461B6872" w14:textId="361AA301" w:rsidR="00507175" w:rsidRPr="00C03E10" w:rsidRDefault="00507175" w:rsidP="006F2E3E">
      <w:pPr>
        <w:pStyle w:val="FootnoteText"/>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Works Directive (93/27/EEC), Supplies Directive (93/36/EEC), Services Directive (92/50/EEC), Utilities Directive (93/38/EEC), Guideliness for Successful Public-Private Partnerships, 2003, Green Paper on Public Private Partnerships and Community law on Public Contracts and Concessions, 2004. </w:t>
      </w:r>
    </w:p>
  </w:footnote>
  <w:footnote w:id="23">
    <w:p w14:paraId="6B8842E6" w14:textId="0C82ED60" w:rsidR="00507175" w:rsidRPr="00C03E10" w:rsidRDefault="00507175">
      <w:pPr>
        <w:pStyle w:val="FootnoteText"/>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Ugovori o upravljanju; spoljnim izvođačima; BOT; DBFO, itd. </w:t>
      </w:r>
    </w:p>
  </w:footnote>
  <w:footnote w:id="24">
    <w:p w14:paraId="7EE9BD44" w14:textId="14A3704D" w:rsidR="00507175" w:rsidRPr="00C03E10" w:rsidRDefault="00507175" w:rsidP="006F2E3E">
      <w:pPr>
        <w:pStyle w:val="FootnoteText"/>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Ovaj broj je po istraživanju iz 2009. godine iznosio preko 30. </w:t>
      </w:r>
    </w:p>
  </w:footnote>
  <w:footnote w:id="25">
    <w:p w14:paraId="2500195F" w14:textId="77777777" w:rsidR="00507175" w:rsidRPr="00C03E10" w:rsidRDefault="00507175" w:rsidP="006F2E3E">
      <w:pPr>
        <w:pStyle w:val="FootnoteText"/>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Zakon o koncesijama usvojen 2000. godine. </w:t>
      </w:r>
    </w:p>
  </w:footnote>
  <w:footnote w:id="26">
    <w:p w14:paraId="554AE3E5" w14:textId="2A81C98D" w:rsidR="00507175" w:rsidRPr="00C03E10" w:rsidRDefault="00507175" w:rsidP="006F2E3E">
      <w:pPr>
        <w:pStyle w:val="FootnoteText"/>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Usvojen 2010., ali je 2013. godine započet postupak izmjene ovog Zakona. </w:t>
      </w:r>
    </w:p>
  </w:footnote>
  <w:footnote w:id="27">
    <w:p w14:paraId="7422380C" w14:textId="77777777" w:rsidR="00507175" w:rsidRPr="00C03E10" w:rsidRDefault="00507175" w:rsidP="00B402D0">
      <w:pPr>
        <w:pStyle w:val="FootnoteText"/>
        <w:rPr>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Zakon o koncesijama je usvojen 1999. a izmijenjen 2011. godine.</w:t>
      </w:r>
      <w:r w:rsidRPr="00C03E10">
        <w:rPr>
          <w:sz w:val="18"/>
          <w:szCs w:val="18"/>
        </w:rPr>
        <w:t xml:space="preserve"> </w:t>
      </w:r>
    </w:p>
  </w:footnote>
  <w:footnote w:id="28">
    <w:p w14:paraId="5FCD09A9" w14:textId="77777777" w:rsidR="00507175" w:rsidRPr="00C03E10" w:rsidRDefault="00507175" w:rsidP="00B402D0">
      <w:pPr>
        <w:pStyle w:val="FootnoteText"/>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Mađarska sprovodi JPP na osnovu Zakona o javnim nabavkama, lokalnoj samoupravi i Građanskog zakonika</w:t>
      </w:r>
    </w:p>
  </w:footnote>
  <w:footnote w:id="29">
    <w:p w14:paraId="57F88869" w14:textId="77777777" w:rsidR="00507175" w:rsidRPr="00C03E10" w:rsidRDefault="00507175" w:rsidP="00B402D0">
      <w:pPr>
        <w:pStyle w:val="FootnoteText"/>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Zakon o javnim nabavkama omogućava sprovođenje JPP projekata.</w:t>
      </w:r>
    </w:p>
  </w:footnote>
  <w:footnote w:id="30">
    <w:p w14:paraId="521F5721" w14:textId="67EEBC57" w:rsidR="00507175" w:rsidRPr="00C03E10" w:rsidRDefault="00507175" w:rsidP="000A3AD8">
      <w:pPr>
        <w:widowControl w:val="0"/>
        <w:autoSpaceDE w:val="0"/>
        <w:autoSpaceDN w:val="0"/>
        <w:adjustRightInd w:val="0"/>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“Guidelines for Successful Public-Private Partnerships”, European Commission, 2003</w:t>
      </w:r>
    </w:p>
  </w:footnote>
  <w:footnote w:id="31">
    <w:p w14:paraId="6FB46EE2" w14:textId="39FE7681" w:rsidR="00507175" w:rsidRPr="00C03E10" w:rsidRDefault="00507175" w:rsidP="009537F7">
      <w:pPr>
        <w:widowControl w:val="0"/>
        <w:autoSpaceDE w:val="0"/>
        <w:autoSpaceDN w:val="0"/>
        <w:adjustRightInd w:val="0"/>
        <w:spacing w:line="276" w:lineRule="auto"/>
        <w:jc w:val="both"/>
        <w:rPr>
          <w:rFonts w:ascii="Arial" w:hAnsi="Arial"/>
          <w:sz w:val="18"/>
          <w:szCs w:val="18"/>
        </w:rPr>
      </w:pPr>
      <w:r w:rsidRPr="00C03E10">
        <w:rPr>
          <w:rStyle w:val="FootnoteReference"/>
          <w:sz w:val="18"/>
          <w:szCs w:val="18"/>
        </w:rPr>
        <w:footnoteRef/>
      </w:r>
      <w:r w:rsidRPr="00C03E10">
        <w:rPr>
          <w:sz w:val="18"/>
          <w:szCs w:val="18"/>
        </w:rPr>
        <w:t xml:space="preserve"> </w:t>
      </w:r>
      <w:r w:rsidRPr="00C03E10">
        <w:rPr>
          <w:rFonts w:ascii="Arial" w:hAnsi="Arial"/>
          <w:sz w:val="18"/>
          <w:szCs w:val="18"/>
        </w:rPr>
        <w:t xml:space="preserve">Dedicated Public-Private Partnership Units, A Survey of Institutional and Governance Structures, OECD, 2012, p. 33 </w:t>
      </w:r>
    </w:p>
  </w:footnote>
  <w:footnote w:id="32">
    <w:p w14:paraId="1793EE92" w14:textId="5CA7EBE6" w:rsidR="00507175" w:rsidRPr="00C03E10" w:rsidRDefault="00507175">
      <w:pPr>
        <w:pStyle w:val="FootnoteText"/>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Više o Centru za praćenje poslovanja energetskog sektora i investicija na </w:t>
      </w:r>
      <w:hyperlink r:id="rId3" w:history="1">
        <w:r w:rsidRPr="00C03E10">
          <w:rPr>
            <w:rStyle w:val="Hyperlink"/>
            <w:rFonts w:ascii="Arial" w:hAnsi="Arial" w:cs="Arial"/>
            <w:sz w:val="18"/>
            <w:szCs w:val="18"/>
          </w:rPr>
          <w:t>http://www.cei.hr/</w:t>
        </w:r>
      </w:hyperlink>
      <w:r w:rsidRPr="00C03E10">
        <w:rPr>
          <w:rFonts w:ascii="Arial" w:hAnsi="Arial" w:cs="Arial"/>
          <w:sz w:val="18"/>
          <w:szCs w:val="18"/>
        </w:rPr>
        <w:t xml:space="preserve"> </w:t>
      </w:r>
    </w:p>
  </w:footnote>
  <w:footnote w:id="33">
    <w:p w14:paraId="6D5EA414" w14:textId="77777777" w:rsidR="00507175" w:rsidRPr="00C03E10" w:rsidRDefault="00507175" w:rsidP="0021278C">
      <w:pPr>
        <w:rPr>
          <w:rFonts w:ascii="Arial" w:eastAsia="Times New Roman"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Član 65, Zakon o javno-privatnom partnerstvu i koncesijama Srbije, “Sl. glasnik RS”, br. 88/2011 </w:t>
      </w:r>
    </w:p>
  </w:footnote>
  <w:footnote w:id="34">
    <w:p w14:paraId="5F4B48D1" w14:textId="40F42DD6" w:rsidR="00507175" w:rsidRPr="00C03E10" w:rsidRDefault="00507175">
      <w:pPr>
        <w:pStyle w:val="FootnoteText"/>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Dedicated Public-Private Partnership Units, A Survey of Institutional and Governance Structures, p. 32 </w:t>
      </w:r>
    </w:p>
  </w:footnote>
  <w:footnote w:id="35">
    <w:p w14:paraId="6A7DC345" w14:textId="77F44433" w:rsidR="00507175" w:rsidRPr="00C03E10" w:rsidRDefault="00507175" w:rsidP="002A466D">
      <w:pPr>
        <w:widowControl w:val="0"/>
        <w:autoSpaceDE w:val="0"/>
        <w:autoSpaceDN w:val="0"/>
        <w:adjustRightInd w:val="0"/>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Član 27, Zakona o javno-privatnom partnerstvu Hrvatske, NN 78/12 </w:t>
      </w:r>
    </w:p>
  </w:footnote>
  <w:footnote w:id="36">
    <w:p w14:paraId="753906C2" w14:textId="30042567" w:rsidR="00507175" w:rsidRPr="00C03E10" w:rsidRDefault="00507175">
      <w:pPr>
        <w:pStyle w:val="FootnoteText"/>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Vidjeti: registar JPP ugovora u Hrvatskoj, dostupno na: </w:t>
      </w:r>
      <w:hyperlink r:id="rId4" w:history="1">
        <w:r w:rsidRPr="00C03E10">
          <w:rPr>
            <w:rStyle w:val="Hyperlink"/>
            <w:rFonts w:ascii="Arial" w:hAnsi="Arial" w:cs="Arial"/>
            <w:sz w:val="18"/>
            <w:szCs w:val="18"/>
          </w:rPr>
          <w:t>http://www.ajpp.hr/naslovnica/registar.aspx</w:t>
        </w:r>
      </w:hyperlink>
      <w:r w:rsidRPr="00C03E10">
        <w:rPr>
          <w:rFonts w:ascii="Arial" w:hAnsi="Arial" w:cs="Arial"/>
          <w:sz w:val="18"/>
          <w:szCs w:val="18"/>
        </w:rPr>
        <w:t xml:space="preserve"> </w:t>
      </w:r>
    </w:p>
  </w:footnote>
  <w:footnote w:id="37">
    <w:p w14:paraId="7F49C7A0" w14:textId="7D14865F" w:rsidR="00507175" w:rsidRPr="00C03E10" w:rsidRDefault="00507175" w:rsidP="000E65D7">
      <w:pPr>
        <w:pStyle w:val="FootnoteText"/>
        <w:jc w:val="both"/>
        <w:rPr>
          <w:rFonts w:ascii="Arial" w:hAnsi="Arial" w:cs="Arial"/>
          <w:sz w:val="18"/>
          <w:szCs w:val="18"/>
        </w:rPr>
      </w:pPr>
      <w:r w:rsidRPr="00C03E10">
        <w:rPr>
          <w:rStyle w:val="FootnoteReference"/>
          <w:rFonts w:ascii="Arial" w:hAnsi="Arial" w:cs="Arial"/>
          <w:sz w:val="18"/>
          <w:szCs w:val="18"/>
        </w:rPr>
        <w:footnoteRef/>
      </w:r>
      <w:r w:rsidRPr="00C03E10">
        <w:rPr>
          <w:rFonts w:ascii="Arial" w:hAnsi="Arial" w:cs="Arial"/>
          <w:sz w:val="18"/>
          <w:szCs w:val="18"/>
        </w:rPr>
        <w:t xml:space="preserve"> Preuzeto sa internet prezentacije hrvatskog Centra za praćenje poslovanja energetskog sektora i investicije: </w:t>
      </w:r>
      <w:hyperlink r:id="rId5" w:history="1">
        <w:r w:rsidRPr="00C03E10">
          <w:rPr>
            <w:rStyle w:val="Hyperlink"/>
            <w:rFonts w:ascii="Arial" w:hAnsi="Arial" w:cs="Arial"/>
            <w:sz w:val="18"/>
            <w:szCs w:val="18"/>
          </w:rPr>
          <w:t>http://cei.hr/javno-privatno-partnerstvo/</w:t>
        </w:r>
      </w:hyperlink>
      <w:r w:rsidRPr="00C03E10">
        <w:rPr>
          <w:rFonts w:ascii="Arial" w:hAnsi="Arial" w:cs="Arial"/>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31254"/>
    <w:multiLevelType w:val="hybridMultilevel"/>
    <w:tmpl w:val="4C969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1255C"/>
    <w:multiLevelType w:val="hybridMultilevel"/>
    <w:tmpl w:val="C7A82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36031"/>
    <w:multiLevelType w:val="hybridMultilevel"/>
    <w:tmpl w:val="E8EC4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75CF0"/>
    <w:multiLevelType w:val="multilevel"/>
    <w:tmpl w:val="79CC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E5C11"/>
    <w:multiLevelType w:val="hybridMultilevel"/>
    <w:tmpl w:val="8A288D5A"/>
    <w:lvl w:ilvl="0" w:tplc="FC48EA0E">
      <w:start w:val="1"/>
      <w:numFmt w:val="bullet"/>
      <w:lvlText w:val=""/>
      <w:lvlJc w:val="left"/>
      <w:pPr>
        <w:ind w:left="720" w:hanging="360"/>
      </w:pPr>
      <w:rPr>
        <w:rFonts w:ascii="Wingdings 3" w:hAnsi="Wingdings 3"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9575C"/>
    <w:multiLevelType w:val="hybridMultilevel"/>
    <w:tmpl w:val="7506F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E3583"/>
    <w:multiLevelType w:val="hybridMultilevel"/>
    <w:tmpl w:val="29A4D6BC"/>
    <w:lvl w:ilvl="0" w:tplc="FC48EA0E">
      <w:start w:val="1"/>
      <w:numFmt w:val="bullet"/>
      <w:lvlText w:val=""/>
      <w:lvlJc w:val="left"/>
      <w:pPr>
        <w:ind w:left="1960" w:hanging="360"/>
      </w:pPr>
      <w:rPr>
        <w:rFonts w:ascii="Wingdings 3" w:hAnsi="Wingdings 3" w:hint="default"/>
        <w:color w:val="4F81BD" w:themeColor="accent1"/>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C1"/>
    <w:rsid w:val="0000103C"/>
    <w:rsid w:val="000019DC"/>
    <w:rsid w:val="000028F4"/>
    <w:rsid w:val="00003648"/>
    <w:rsid w:val="00006D41"/>
    <w:rsid w:val="000138DC"/>
    <w:rsid w:val="00014E34"/>
    <w:rsid w:val="000154AB"/>
    <w:rsid w:val="00015958"/>
    <w:rsid w:val="000178DB"/>
    <w:rsid w:val="00017AF1"/>
    <w:rsid w:val="00021816"/>
    <w:rsid w:val="00022771"/>
    <w:rsid w:val="000227CC"/>
    <w:rsid w:val="000248C5"/>
    <w:rsid w:val="00031BB2"/>
    <w:rsid w:val="00031ECD"/>
    <w:rsid w:val="00033053"/>
    <w:rsid w:val="000400D3"/>
    <w:rsid w:val="00041AC8"/>
    <w:rsid w:val="00043A41"/>
    <w:rsid w:val="00050C85"/>
    <w:rsid w:val="00051B44"/>
    <w:rsid w:val="00057A3E"/>
    <w:rsid w:val="00063229"/>
    <w:rsid w:val="00065E2E"/>
    <w:rsid w:val="00070257"/>
    <w:rsid w:val="0007089A"/>
    <w:rsid w:val="00070A9D"/>
    <w:rsid w:val="00071099"/>
    <w:rsid w:val="00073D77"/>
    <w:rsid w:val="0007739B"/>
    <w:rsid w:val="00077619"/>
    <w:rsid w:val="00080B63"/>
    <w:rsid w:val="00080BA4"/>
    <w:rsid w:val="0008200E"/>
    <w:rsid w:val="00095FFA"/>
    <w:rsid w:val="00096CD6"/>
    <w:rsid w:val="000972E8"/>
    <w:rsid w:val="000A31FD"/>
    <w:rsid w:val="000A3AD8"/>
    <w:rsid w:val="000A4607"/>
    <w:rsid w:val="000A7380"/>
    <w:rsid w:val="000B0071"/>
    <w:rsid w:val="000B3300"/>
    <w:rsid w:val="000B44B7"/>
    <w:rsid w:val="000B51F3"/>
    <w:rsid w:val="000B65FF"/>
    <w:rsid w:val="000B7513"/>
    <w:rsid w:val="000C1200"/>
    <w:rsid w:val="000C4599"/>
    <w:rsid w:val="000C54C5"/>
    <w:rsid w:val="000D1E89"/>
    <w:rsid w:val="000E2C4E"/>
    <w:rsid w:val="000E309D"/>
    <w:rsid w:val="000E65D7"/>
    <w:rsid w:val="000F1723"/>
    <w:rsid w:val="000F6717"/>
    <w:rsid w:val="00103B62"/>
    <w:rsid w:val="00103D3E"/>
    <w:rsid w:val="00104233"/>
    <w:rsid w:val="00112D81"/>
    <w:rsid w:val="00122C59"/>
    <w:rsid w:val="00123C1D"/>
    <w:rsid w:val="00126931"/>
    <w:rsid w:val="00126AE7"/>
    <w:rsid w:val="00127CA4"/>
    <w:rsid w:val="00132E84"/>
    <w:rsid w:val="00134D6B"/>
    <w:rsid w:val="00135D1A"/>
    <w:rsid w:val="00140ACD"/>
    <w:rsid w:val="00150E22"/>
    <w:rsid w:val="00154A93"/>
    <w:rsid w:val="001577A3"/>
    <w:rsid w:val="001621A9"/>
    <w:rsid w:val="00162DAF"/>
    <w:rsid w:val="00162F86"/>
    <w:rsid w:val="001660C9"/>
    <w:rsid w:val="00167584"/>
    <w:rsid w:val="001807CA"/>
    <w:rsid w:val="00180F2B"/>
    <w:rsid w:val="00184791"/>
    <w:rsid w:val="00192E02"/>
    <w:rsid w:val="001937F6"/>
    <w:rsid w:val="00193DB5"/>
    <w:rsid w:val="001950E1"/>
    <w:rsid w:val="001A3825"/>
    <w:rsid w:val="001B1F61"/>
    <w:rsid w:val="001B31C1"/>
    <w:rsid w:val="001C29F4"/>
    <w:rsid w:val="001C5B4B"/>
    <w:rsid w:val="001D09B1"/>
    <w:rsid w:val="001D129C"/>
    <w:rsid w:val="001D234A"/>
    <w:rsid w:val="001D2A1B"/>
    <w:rsid w:val="001D4BC7"/>
    <w:rsid w:val="001D54FA"/>
    <w:rsid w:val="001D7BC8"/>
    <w:rsid w:val="001E337C"/>
    <w:rsid w:val="001E3C7D"/>
    <w:rsid w:val="001E3CD4"/>
    <w:rsid w:val="001E44D6"/>
    <w:rsid w:val="001F210B"/>
    <w:rsid w:val="001F2D96"/>
    <w:rsid w:val="001F7E18"/>
    <w:rsid w:val="00200822"/>
    <w:rsid w:val="00205000"/>
    <w:rsid w:val="00205DC1"/>
    <w:rsid w:val="00206D04"/>
    <w:rsid w:val="00207F15"/>
    <w:rsid w:val="00211033"/>
    <w:rsid w:val="0021278C"/>
    <w:rsid w:val="0022352F"/>
    <w:rsid w:val="0022484E"/>
    <w:rsid w:val="00226827"/>
    <w:rsid w:val="00237908"/>
    <w:rsid w:val="00240002"/>
    <w:rsid w:val="00241821"/>
    <w:rsid w:val="00243C81"/>
    <w:rsid w:val="00243C85"/>
    <w:rsid w:val="0025087B"/>
    <w:rsid w:val="00251265"/>
    <w:rsid w:val="00252440"/>
    <w:rsid w:val="00252D2E"/>
    <w:rsid w:val="00253E59"/>
    <w:rsid w:val="00262D9C"/>
    <w:rsid w:val="00265237"/>
    <w:rsid w:val="002659D0"/>
    <w:rsid w:val="002665C3"/>
    <w:rsid w:val="0027546F"/>
    <w:rsid w:val="00276AD0"/>
    <w:rsid w:val="00281688"/>
    <w:rsid w:val="002816AC"/>
    <w:rsid w:val="00282BED"/>
    <w:rsid w:val="00287564"/>
    <w:rsid w:val="00291F24"/>
    <w:rsid w:val="002A466D"/>
    <w:rsid w:val="002A4ECC"/>
    <w:rsid w:val="002B21A7"/>
    <w:rsid w:val="002B4ECA"/>
    <w:rsid w:val="002B7679"/>
    <w:rsid w:val="002C114B"/>
    <w:rsid w:val="002C237B"/>
    <w:rsid w:val="002C4773"/>
    <w:rsid w:val="002D2EA8"/>
    <w:rsid w:val="002D3A32"/>
    <w:rsid w:val="002D76F8"/>
    <w:rsid w:val="002E070B"/>
    <w:rsid w:val="002E07C8"/>
    <w:rsid w:val="002E0CB1"/>
    <w:rsid w:val="002E1A1E"/>
    <w:rsid w:val="002E629A"/>
    <w:rsid w:val="002F575E"/>
    <w:rsid w:val="00307A0D"/>
    <w:rsid w:val="0032691A"/>
    <w:rsid w:val="003303D4"/>
    <w:rsid w:val="00333070"/>
    <w:rsid w:val="00334AEF"/>
    <w:rsid w:val="00335615"/>
    <w:rsid w:val="00336FAB"/>
    <w:rsid w:val="003408A3"/>
    <w:rsid w:val="0035481D"/>
    <w:rsid w:val="003556BB"/>
    <w:rsid w:val="00355BD3"/>
    <w:rsid w:val="003621B8"/>
    <w:rsid w:val="00363D50"/>
    <w:rsid w:val="00364AF4"/>
    <w:rsid w:val="00365495"/>
    <w:rsid w:val="00373D4F"/>
    <w:rsid w:val="00375B4F"/>
    <w:rsid w:val="00377631"/>
    <w:rsid w:val="00381600"/>
    <w:rsid w:val="00381787"/>
    <w:rsid w:val="0038476A"/>
    <w:rsid w:val="00390F3C"/>
    <w:rsid w:val="00393ACF"/>
    <w:rsid w:val="003A45FF"/>
    <w:rsid w:val="003A55AD"/>
    <w:rsid w:val="003A5C56"/>
    <w:rsid w:val="003B2959"/>
    <w:rsid w:val="003B2E2C"/>
    <w:rsid w:val="003B6CC1"/>
    <w:rsid w:val="003C25DF"/>
    <w:rsid w:val="003C30EA"/>
    <w:rsid w:val="003D1A26"/>
    <w:rsid w:val="003E3011"/>
    <w:rsid w:val="003E4895"/>
    <w:rsid w:val="003E50B1"/>
    <w:rsid w:val="003E69A4"/>
    <w:rsid w:val="003F482B"/>
    <w:rsid w:val="003F5C9B"/>
    <w:rsid w:val="003F781E"/>
    <w:rsid w:val="00401605"/>
    <w:rsid w:val="00416823"/>
    <w:rsid w:val="00416E09"/>
    <w:rsid w:val="004174A0"/>
    <w:rsid w:val="00417A10"/>
    <w:rsid w:val="00417EC0"/>
    <w:rsid w:val="00422ED3"/>
    <w:rsid w:val="00431DC6"/>
    <w:rsid w:val="00434670"/>
    <w:rsid w:val="00437376"/>
    <w:rsid w:val="004437FC"/>
    <w:rsid w:val="00444B74"/>
    <w:rsid w:val="00444B77"/>
    <w:rsid w:val="00450C78"/>
    <w:rsid w:val="00463274"/>
    <w:rsid w:val="00464863"/>
    <w:rsid w:val="00466F68"/>
    <w:rsid w:val="004719E9"/>
    <w:rsid w:val="004726AC"/>
    <w:rsid w:val="00475910"/>
    <w:rsid w:val="00480CB3"/>
    <w:rsid w:val="004821B7"/>
    <w:rsid w:val="00486253"/>
    <w:rsid w:val="00491BBB"/>
    <w:rsid w:val="00493532"/>
    <w:rsid w:val="004979EE"/>
    <w:rsid w:val="004A1F5A"/>
    <w:rsid w:val="004B0543"/>
    <w:rsid w:val="004B3135"/>
    <w:rsid w:val="004B42C2"/>
    <w:rsid w:val="004B4A79"/>
    <w:rsid w:val="004B7119"/>
    <w:rsid w:val="004C3FEB"/>
    <w:rsid w:val="004C78AD"/>
    <w:rsid w:val="004D04D7"/>
    <w:rsid w:val="004D322F"/>
    <w:rsid w:val="004E210C"/>
    <w:rsid w:val="004E2231"/>
    <w:rsid w:val="004F377B"/>
    <w:rsid w:val="004F4CFA"/>
    <w:rsid w:val="004F5956"/>
    <w:rsid w:val="00503F20"/>
    <w:rsid w:val="00507175"/>
    <w:rsid w:val="005101C8"/>
    <w:rsid w:val="00513352"/>
    <w:rsid w:val="005209EC"/>
    <w:rsid w:val="00525058"/>
    <w:rsid w:val="005265F5"/>
    <w:rsid w:val="00526A6C"/>
    <w:rsid w:val="00533EC0"/>
    <w:rsid w:val="005362E8"/>
    <w:rsid w:val="00536BA9"/>
    <w:rsid w:val="00540610"/>
    <w:rsid w:val="0054214F"/>
    <w:rsid w:val="00545D74"/>
    <w:rsid w:val="00547B28"/>
    <w:rsid w:val="00547EC6"/>
    <w:rsid w:val="0055193A"/>
    <w:rsid w:val="00551B3B"/>
    <w:rsid w:val="00566AE9"/>
    <w:rsid w:val="00571851"/>
    <w:rsid w:val="005800DC"/>
    <w:rsid w:val="00581E0A"/>
    <w:rsid w:val="00582E48"/>
    <w:rsid w:val="0058522E"/>
    <w:rsid w:val="00585B48"/>
    <w:rsid w:val="00595015"/>
    <w:rsid w:val="005A2F98"/>
    <w:rsid w:val="005A3CBB"/>
    <w:rsid w:val="005A523F"/>
    <w:rsid w:val="005A605D"/>
    <w:rsid w:val="005B0032"/>
    <w:rsid w:val="005B2AE4"/>
    <w:rsid w:val="005C250F"/>
    <w:rsid w:val="005C3225"/>
    <w:rsid w:val="005D3D1F"/>
    <w:rsid w:val="005E4AEA"/>
    <w:rsid w:val="005F38FB"/>
    <w:rsid w:val="005F540D"/>
    <w:rsid w:val="00605F26"/>
    <w:rsid w:val="006132EE"/>
    <w:rsid w:val="006146AC"/>
    <w:rsid w:val="00616631"/>
    <w:rsid w:val="00620FA1"/>
    <w:rsid w:val="00624B47"/>
    <w:rsid w:val="00624D6F"/>
    <w:rsid w:val="00626AF6"/>
    <w:rsid w:val="00627B35"/>
    <w:rsid w:val="00632627"/>
    <w:rsid w:val="00635C41"/>
    <w:rsid w:val="00642E2B"/>
    <w:rsid w:val="00651248"/>
    <w:rsid w:val="0065274B"/>
    <w:rsid w:val="00653BEA"/>
    <w:rsid w:val="00653FFE"/>
    <w:rsid w:val="00663C34"/>
    <w:rsid w:val="0067431B"/>
    <w:rsid w:val="00675519"/>
    <w:rsid w:val="0068150C"/>
    <w:rsid w:val="00684DB6"/>
    <w:rsid w:val="00694C10"/>
    <w:rsid w:val="006A27F4"/>
    <w:rsid w:val="006B0803"/>
    <w:rsid w:val="006C1009"/>
    <w:rsid w:val="006C2AC6"/>
    <w:rsid w:val="006D4E41"/>
    <w:rsid w:val="006D55D9"/>
    <w:rsid w:val="006D5AE4"/>
    <w:rsid w:val="006D7720"/>
    <w:rsid w:val="006E0ED3"/>
    <w:rsid w:val="006E4F37"/>
    <w:rsid w:val="006E76E6"/>
    <w:rsid w:val="006F0B11"/>
    <w:rsid w:val="006F24AD"/>
    <w:rsid w:val="006F2E3E"/>
    <w:rsid w:val="006F76AC"/>
    <w:rsid w:val="00700528"/>
    <w:rsid w:val="00701711"/>
    <w:rsid w:val="00706423"/>
    <w:rsid w:val="00714B26"/>
    <w:rsid w:val="007215C9"/>
    <w:rsid w:val="00727644"/>
    <w:rsid w:val="00730504"/>
    <w:rsid w:val="00730ADE"/>
    <w:rsid w:val="00732A0B"/>
    <w:rsid w:val="00733843"/>
    <w:rsid w:val="007358AC"/>
    <w:rsid w:val="007406BB"/>
    <w:rsid w:val="00743720"/>
    <w:rsid w:val="00743875"/>
    <w:rsid w:val="00746EB1"/>
    <w:rsid w:val="00747613"/>
    <w:rsid w:val="00750097"/>
    <w:rsid w:val="007509E9"/>
    <w:rsid w:val="00753962"/>
    <w:rsid w:val="00755E5C"/>
    <w:rsid w:val="007575F9"/>
    <w:rsid w:val="00760B8A"/>
    <w:rsid w:val="00760E58"/>
    <w:rsid w:val="00761D59"/>
    <w:rsid w:val="00767AC9"/>
    <w:rsid w:val="00767F01"/>
    <w:rsid w:val="00775556"/>
    <w:rsid w:val="0078211F"/>
    <w:rsid w:val="00782317"/>
    <w:rsid w:val="00782A14"/>
    <w:rsid w:val="0079420C"/>
    <w:rsid w:val="00794917"/>
    <w:rsid w:val="007A3304"/>
    <w:rsid w:val="007A3388"/>
    <w:rsid w:val="007A56AA"/>
    <w:rsid w:val="007B32F1"/>
    <w:rsid w:val="007B6EED"/>
    <w:rsid w:val="007C21E6"/>
    <w:rsid w:val="007C2DD4"/>
    <w:rsid w:val="007D356F"/>
    <w:rsid w:val="007D4DD0"/>
    <w:rsid w:val="007D6705"/>
    <w:rsid w:val="007D694C"/>
    <w:rsid w:val="007D7A94"/>
    <w:rsid w:val="007E07C9"/>
    <w:rsid w:val="007E0B00"/>
    <w:rsid w:val="007E7FBE"/>
    <w:rsid w:val="007F437F"/>
    <w:rsid w:val="007F5266"/>
    <w:rsid w:val="007F540C"/>
    <w:rsid w:val="00800C61"/>
    <w:rsid w:val="00800DE0"/>
    <w:rsid w:val="00802FF2"/>
    <w:rsid w:val="00806171"/>
    <w:rsid w:val="00807578"/>
    <w:rsid w:val="00811DAA"/>
    <w:rsid w:val="00820B1A"/>
    <w:rsid w:val="00821D4D"/>
    <w:rsid w:val="008251A5"/>
    <w:rsid w:val="00825780"/>
    <w:rsid w:val="008276E9"/>
    <w:rsid w:val="00827B20"/>
    <w:rsid w:val="008321C7"/>
    <w:rsid w:val="0083222D"/>
    <w:rsid w:val="00832BA0"/>
    <w:rsid w:val="008339F1"/>
    <w:rsid w:val="008362E9"/>
    <w:rsid w:val="00840FC2"/>
    <w:rsid w:val="00842DAA"/>
    <w:rsid w:val="00843D3F"/>
    <w:rsid w:val="00845ADE"/>
    <w:rsid w:val="0085047E"/>
    <w:rsid w:val="00852EC2"/>
    <w:rsid w:val="008573A3"/>
    <w:rsid w:val="00857772"/>
    <w:rsid w:val="00857B97"/>
    <w:rsid w:val="00864997"/>
    <w:rsid w:val="00874652"/>
    <w:rsid w:val="008759A1"/>
    <w:rsid w:val="00877205"/>
    <w:rsid w:val="0089099D"/>
    <w:rsid w:val="00892BCA"/>
    <w:rsid w:val="00892CBC"/>
    <w:rsid w:val="008949FE"/>
    <w:rsid w:val="00896D53"/>
    <w:rsid w:val="008A7AE0"/>
    <w:rsid w:val="008A7F83"/>
    <w:rsid w:val="008B0319"/>
    <w:rsid w:val="008B0912"/>
    <w:rsid w:val="008B0F07"/>
    <w:rsid w:val="008B23D4"/>
    <w:rsid w:val="008B43B8"/>
    <w:rsid w:val="008B499F"/>
    <w:rsid w:val="008B5634"/>
    <w:rsid w:val="008C1798"/>
    <w:rsid w:val="008C1C5D"/>
    <w:rsid w:val="008D3099"/>
    <w:rsid w:val="008D587D"/>
    <w:rsid w:val="008D5B0B"/>
    <w:rsid w:val="008E5CBB"/>
    <w:rsid w:val="008E78ED"/>
    <w:rsid w:val="008E7C00"/>
    <w:rsid w:val="008E7E5A"/>
    <w:rsid w:val="008F6413"/>
    <w:rsid w:val="008F6497"/>
    <w:rsid w:val="00903B9E"/>
    <w:rsid w:val="0091336A"/>
    <w:rsid w:val="00915A05"/>
    <w:rsid w:val="00925108"/>
    <w:rsid w:val="00925E69"/>
    <w:rsid w:val="00936852"/>
    <w:rsid w:val="00943734"/>
    <w:rsid w:val="00946660"/>
    <w:rsid w:val="009537F7"/>
    <w:rsid w:val="009573E3"/>
    <w:rsid w:val="00960509"/>
    <w:rsid w:val="00970BE1"/>
    <w:rsid w:val="009754EE"/>
    <w:rsid w:val="00982594"/>
    <w:rsid w:val="00986546"/>
    <w:rsid w:val="0099138E"/>
    <w:rsid w:val="00995A59"/>
    <w:rsid w:val="009A1087"/>
    <w:rsid w:val="009A1D76"/>
    <w:rsid w:val="009A44E9"/>
    <w:rsid w:val="009A7579"/>
    <w:rsid w:val="009A7B5A"/>
    <w:rsid w:val="009B56E6"/>
    <w:rsid w:val="009B58FC"/>
    <w:rsid w:val="009B74D3"/>
    <w:rsid w:val="009C1803"/>
    <w:rsid w:val="009C733D"/>
    <w:rsid w:val="009C763A"/>
    <w:rsid w:val="009E7F3B"/>
    <w:rsid w:val="009F3C8D"/>
    <w:rsid w:val="009F6009"/>
    <w:rsid w:val="009F76B6"/>
    <w:rsid w:val="00A010D0"/>
    <w:rsid w:val="00A01722"/>
    <w:rsid w:val="00A018EA"/>
    <w:rsid w:val="00A03294"/>
    <w:rsid w:val="00A03789"/>
    <w:rsid w:val="00A0549E"/>
    <w:rsid w:val="00A05C68"/>
    <w:rsid w:val="00A06B74"/>
    <w:rsid w:val="00A07D2F"/>
    <w:rsid w:val="00A11708"/>
    <w:rsid w:val="00A11D11"/>
    <w:rsid w:val="00A14221"/>
    <w:rsid w:val="00A1641D"/>
    <w:rsid w:val="00A1695A"/>
    <w:rsid w:val="00A24316"/>
    <w:rsid w:val="00A31961"/>
    <w:rsid w:val="00A3240D"/>
    <w:rsid w:val="00A33519"/>
    <w:rsid w:val="00A35990"/>
    <w:rsid w:val="00A3643E"/>
    <w:rsid w:val="00A3705B"/>
    <w:rsid w:val="00A44D88"/>
    <w:rsid w:val="00A44E23"/>
    <w:rsid w:val="00A46DFF"/>
    <w:rsid w:val="00A4780C"/>
    <w:rsid w:val="00A51FF7"/>
    <w:rsid w:val="00A5244F"/>
    <w:rsid w:val="00A54738"/>
    <w:rsid w:val="00A54ADF"/>
    <w:rsid w:val="00A559B9"/>
    <w:rsid w:val="00A55B7F"/>
    <w:rsid w:val="00A64075"/>
    <w:rsid w:val="00A6466F"/>
    <w:rsid w:val="00A6789D"/>
    <w:rsid w:val="00A7036E"/>
    <w:rsid w:val="00A7225C"/>
    <w:rsid w:val="00A730BF"/>
    <w:rsid w:val="00A7632C"/>
    <w:rsid w:val="00A76460"/>
    <w:rsid w:val="00A838FA"/>
    <w:rsid w:val="00A8557B"/>
    <w:rsid w:val="00A86001"/>
    <w:rsid w:val="00AA09F2"/>
    <w:rsid w:val="00AA1383"/>
    <w:rsid w:val="00AA47A6"/>
    <w:rsid w:val="00AA63F2"/>
    <w:rsid w:val="00AC44C0"/>
    <w:rsid w:val="00AC6EB8"/>
    <w:rsid w:val="00AD47E7"/>
    <w:rsid w:val="00AD76D7"/>
    <w:rsid w:val="00AE4D75"/>
    <w:rsid w:val="00AE5226"/>
    <w:rsid w:val="00AE5B71"/>
    <w:rsid w:val="00AF08F5"/>
    <w:rsid w:val="00AF0FB2"/>
    <w:rsid w:val="00AF7183"/>
    <w:rsid w:val="00B05618"/>
    <w:rsid w:val="00B12AAF"/>
    <w:rsid w:val="00B174A5"/>
    <w:rsid w:val="00B2031F"/>
    <w:rsid w:val="00B21162"/>
    <w:rsid w:val="00B2253D"/>
    <w:rsid w:val="00B26036"/>
    <w:rsid w:val="00B35FFA"/>
    <w:rsid w:val="00B402D0"/>
    <w:rsid w:val="00B42D9D"/>
    <w:rsid w:val="00B4318E"/>
    <w:rsid w:val="00B45D8D"/>
    <w:rsid w:val="00B45F1A"/>
    <w:rsid w:val="00B53BC7"/>
    <w:rsid w:val="00B5753E"/>
    <w:rsid w:val="00B602ED"/>
    <w:rsid w:val="00B630D2"/>
    <w:rsid w:val="00B645B1"/>
    <w:rsid w:val="00B7138E"/>
    <w:rsid w:val="00B718F9"/>
    <w:rsid w:val="00B7249F"/>
    <w:rsid w:val="00B7299A"/>
    <w:rsid w:val="00B7677B"/>
    <w:rsid w:val="00B77CF3"/>
    <w:rsid w:val="00B82A8E"/>
    <w:rsid w:val="00B86267"/>
    <w:rsid w:val="00B8768B"/>
    <w:rsid w:val="00B9491D"/>
    <w:rsid w:val="00B94B82"/>
    <w:rsid w:val="00B97B72"/>
    <w:rsid w:val="00B97BD7"/>
    <w:rsid w:val="00B97D9C"/>
    <w:rsid w:val="00BA1CAE"/>
    <w:rsid w:val="00BA70F5"/>
    <w:rsid w:val="00BB3ABC"/>
    <w:rsid w:val="00BB7BF0"/>
    <w:rsid w:val="00BC17E4"/>
    <w:rsid w:val="00BC2267"/>
    <w:rsid w:val="00BC254F"/>
    <w:rsid w:val="00BC5418"/>
    <w:rsid w:val="00BC6388"/>
    <w:rsid w:val="00BD33C2"/>
    <w:rsid w:val="00BD3555"/>
    <w:rsid w:val="00BD3F1A"/>
    <w:rsid w:val="00BD589F"/>
    <w:rsid w:val="00BE0F62"/>
    <w:rsid w:val="00BE582E"/>
    <w:rsid w:val="00BF0CD4"/>
    <w:rsid w:val="00BF1603"/>
    <w:rsid w:val="00BF2011"/>
    <w:rsid w:val="00C03E10"/>
    <w:rsid w:val="00C07887"/>
    <w:rsid w:val="00C10DCB"/>
    <w:rsid w:val="00C156AD"/>
    <w:rsid w:val="00C159EA"/>
    <w:rsid w:val="00C164C8"/>
    <w:rsid w:val="00C171CE"/>
    <w:rsid w:val="00C300F5"/>
    <w:rsid w:val="00C3311B"/>
    <w:rsid w:val="00C34EA5"/>
    <w:rsid w:val="00C4085B"/>
    <w:rsid w:val="00C4192A"/>
    <w:rsid w:val="00C41DBF"/>
    <w:rsid w:val="00C47BA0"/>
    <w:rsid w:val="00C519D4"/>
    <w:rsid w:val="00C602FA"/>
    <w:rsid w:val="00C62AC4"/>
    <w:rsid w:val="00C62F68"/>
    <w:rsid w:val="00C722A5"/>
    <w:rsid w:val="00C80DE2"/>
    <w:rsid w:val="00C826BD"/>
    <w:rsid w:val="00C85E23"/>
    <w:rsid w:val="00C87BB9"/>
    <w:rsid w:val="00C90F10"/>
    <w:rsid w:val="00C91BCA"/>
    <w:rsid w:val="00CA2476"/>
    <w:rsid w:val="00CA2830"/>
    <w:rsid w:val="00CA432F"/>
    <w:rsid w:val="00CA6C45"/>
    <w:rsid w:val="00CB65FB"/>
    <w:rsid w:val="00CD7975"/>
    <w:rsid w:val="00CD7FCA"/>
    <w:rsid w:val="00CF0B0F"/>
    <w:rsid w:val="00CF491D"/>
    <w:rsid w:val="00CF7107"/>
    <w:rsid w:val="00D03A1F"/>
    <w:rsid w:val="00D04B3A"/>
    <w:rsid w:val="00D07A18"/>
    <w:rsid w:val="00D13A4C"/>
    <w:rsid w:val="00D246F2"/>
    <w:rsid w:val="00D25408"/>
    <w:rsid w:val="00D31A52"/>
    <w:rsid w:val="00D35FD3"/>
    <w:rsid w:val="00D40AC2"/>
    <w:rsid w:val="00D43E5A"/>
    <w:rsid w:val="00D46191"/>
    <w:rsid w:val="00D4755D"/>
    <w:rsid w:val="00D537D1"/>
    <w:rsid w:val="00D53CCE"/>
    <w:rsid w:val="00D54929"/>
    <w:rsid w:val="00D54E12"/>
    <w:rsid w:val="00D56BA6"/>
    <w:rsid w:val="00D57D73"/>
    <w:rsid w:val="00D62062"/>
    <w:rsid w:val="00D66689"/>
    <w:rsid w:val="00D6744D"/>
    <w:rsid w:val="00D872D0"/>
    <w:rsid w:val="00D91699"/>
    <w:rsid w:val="00D9327A"/>
    <w:rsid w:val="00D9503A"/>
    <w:rsid w:val="00DA2455"/>
    <w:rsid w:val="00DA280D"/>
    <w:rsid w:val="00DA6105"/>
    <w:rsid w:val="00DA6F7E"/>
    <w:rsid w:val="00DA7C31"/>
    <w:rsid w:val="00DB43FB"/>
    <w:rsid w:val="00DB53BF"/>
    <w:rsid w:val="00DC0A42"/>
    <w:rsid w:val="00DC3EDA"/>
    <w:rsid w:val="00DC3F49"/>
    <w:rsid w:val="00DC6200"/>
    <w:rsid w:val="00DC7849"/>
    <w:rsid w:val="00DD19BF"/>
    <w:rsid w:val="00DD26C1"/>
    <w:rsid w:val="00DD35A9"/>
    <w:rsid w:val="00DD3EE8"/>
    <w:rsid w:val="00DE0339"/>
    <w:rsid w:val="00DE2CD7"/>
    <w:rsid w:val="00DE3935"/>
    <w:rsid w:val="00DE453B"/>
    <w:rsid w:val="00DE66AC"/>
    <w:rsid w:val="00DE6C30"/>
    <w:rsid w:val="00DF2378"/>
    <w:rsid w:val="00DF3561"/>
    <w:rsid w:val="00DF5DF7"/>
    <w:rsid w:val="00DF5F03"/>
    <w:rsid w:val="00E01709"/>
    <w:rsid w:val="00E07386"/>
    <w:rsid w:val="00E10910"/>
    <w:rsid w:val="00E11FEA"/>
    <w:rsid w:val="00E15CAE"/>
    <w:rsid w:val="00E1736D"/>
    <w:rsid w:val="00E17C11"/>
    <w:rsid w:val="00E17E83"/>
    <w:rsid w:val="00E21C20"/>
    <w:rsid w:val="00E257AC"/>
    <w:rsid w:val="00E32B85"/>
    <w:rsid w:val="00E41666"/>
    <w:rsid w:val="00E4260A"/>
    <w:rsid w:val="00E4677C"/>
    <w:rsid w:val="00E52675"/>
    <w:rsid w:val="00E54A86"/>
    <w:rsid w:val="00E62CEC"/>
    <w:rsid w:val="00E633D8"/>
    <w:rsid w:val="00E65E37"/>
    <w:rsid w:val="00E674E3"/>
    <w:rsid w:val="00E729C0"/>
    <w:rsid w:val="00E7393F"/>
    <w:rsid w:val="00E73F81"/>
    <w:rsid w:val="00E901D1"/>
    <w:rsid w:val="00E93C8A"/>
    <w:rsid w:val="00E94AF3"/>
    <w:rsid w:val="00E9540B"/>
    <w:rsid w:val="00E95C9C"/>
    <w:rsid w:val="00E969A0"/>
    <w:rsid w:val="00E9799E"/>
    <w:rsid w:val="00EA0B2C"/>
    <w:rsid w:val="00EA1784"/>
    <w:rsid w:val="00EA1D28"/>
    <w:rsid w:val="00EA4507"/>
    <w:rsid w:val="00EB0F41"/>
    <w:rsid w:val="00EB3392"/>
    <w:rsid w:val="00EB3C28"/>
    <w:rsid w:val="00EB7915"/>
    <w:rsid w:val="00EC64EA"/>
    <w:rsid w:val="00EC7500"/>
    <w:rsid w:val="00EE1E75"/>
    <w:rsid w:val="00EE68B6"/>
    <w:rsid w:val="00F03A61"/>
    <w:rsid w:val="00F07886"/>
    <w:rsid w:val="00F12D5B"/>
    <w:rsid w:val="00F1723B"/>
    <w:rsid w:val="00F26DEA"/>
    <w:rsid w:val="00F36A94"/>
    <w:rsid w:val="00F41C4C"/>
    <w:rsid w:val="00F474ED"/>
    <w:rsid w:val="00F47ABE"/>
    <w:rsid w:val="00F534AF"/>
    <w:rsid w:val="00F6179B"/>
    <w:rsid w:val="00F73CC4"/>
    <w:rsid w:val="00F740E4"/>
    <w:rsid w:val="00F77A09"/>
    <w:rsid w:val="00F81024"/>
    <w:rsid w:val="00F861F6"/>
    <w:rsid w:val="00F86933"/>
    <w:rsid w:val="00F8744D"/>
    <w:rsid w:val="00F87DD1"/>
    <w:rsid w:val="00F95362"/>
    <w:rsid w:val="00FA3133"/>
    <w:rsid w:val="00FA4586"/>
    <w:rsid w:val="00FA7076"/>
    <w:rsid w:val="00FB36F9"/>
    <w:rsid w:val="00FB40A9"/>
    <w:rsid w:val="00FC3246"/>
    <w:rsid w:val="00FD06B7"/>
    <w:rsid w:val="00FD1C88"/>
    <w:rsid w:val="00FD217B"/>
    <w:rsid w:val="00FD3600"/>
    <w:rsid w:val="00FF577A"/>
    <w:rsid w:val="00FF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4C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r-HR"/>
    </w:rPr>
  </w:style>
  <w:style w:type="paragraph" w:styleId="Heading2">
    <w:name w:val="heading 2"/>
    <w:basedOn w:val="Normal"/>
    <w:link w:val="Heading2Char"/>
    <w:uiPriority w:val="9"/>
    <w:qFormat/>
    <w:rsid w:val="00A11D11"/>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2BCA"/>
  </w:style>
  <w:style w:type="character" w:customStyle="1" w:styleId="FootnoteTextChar">
    <w:name w:val="Footnote Text Char"/>
    <w:basedOn w:val="DefaultParagraphFont"/>
    <w:link w:val="FootnoteText"/>
    <w:uiPriority w:val="99"/>
    <w:rsid w:val="00892BCA"/>
    <w:rPr>
      <w:noProof/>
      <w:lang w:val="en-GB"/>
    </w:rPr>
  </w:style>
  <w:style w:type="character" w:styleId="FootnoteReference">
    <w:name w:val="footnote reference"/>
    <w:basedOn w:val="DefaultParagraphFont"/>
    <w:uiPriority w:val="99"/>
    <w:unhideWhenUsed/>
    <w:rsid w:val="00892BCA"/>
    <w:rPr>
      <w:vertAlign w:val="superscript"/>
    </w:rPr>
  </w:style>
  <w:style w:type="paragraph" w:styleId="BalloonText">
    <w:name w:val="Balloon Text"/>
    <w:basedOn w:val="Normal"/>
    <w:link w:val="BalloonTextChar"/>
    <w:uiPriority w:val="99"/>
    <w:semiHidden/>
    <w:unhideWhenUsed/>
    <w:rsid w:val="005C3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225"/>
    <w:rPr>
      <w:rFonts w:ascii="Lucida Grande" w:hAnsi="Lucida Grande" w:cs="Lucida Grande"/>
      <w:noProof/>
      <w:sz w:val="18"/>
      <w:szCs w:val="18"/>
      <w:lang w:val="en-GB"/>
    </w:rPr>
  </w:style>
  <w:style w:type="table" w:styleId="TableGrid">
    <w:name w:val="Table Grid"/>
    <w:basedOn w:val="TableNormal"/>
    <w:uiPriority w:val="59"/>
    <w:rsid w:val="00A47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25108"/>
  </w:style>
  <w:style w:type="character" w:styleId="Hyperlink">
    <w:name w:val="Hyperlink"/>
    <w:basedOn w:val="DefaultParagraphFont"/>
    <w:uiPriority w:val="99"/>
    <w:unhideWhenUsed/>
    <w:rsid w:val="00925108"/>
    <w:rPr>
      <w:color w:val="0000FF"/>
      <w:u w:val="single"/>
    </w:rPr>
  </w:style>
  <w:style w:type="paragraph" w:customStyle="1" w:styleId="wyq060---pododeljak">
    <w:name w:val="wyq060---pododeljak"/>
    <w:basedOn w:val="Normal"/>
    <w:rsid w:val="00642E2B"/>
    <w:pPr>
      <w:spacing w:before="100" w:beforeAutospacing="1" w:after="100" w:afterAutospacing="1"/>
    </w:pPr>
    <w:rPr>
      <w:rFonts w:ascii="Times" w:hAnsi="Times"/>
      <w:noProof w:val="0"/>
      <w:sz w:val="20"/>
      <w:szCs w:val="20"/>
      <w:lang w:val="en-US"/>
    </w:rPr>
  </w:style>
  <w:style w:type="paragraph" w:customStyle="1" w:styleId="wyq100---naslov-grupe-clanova-kurziv">
    <w:name w:val="wyq100---naslov-grupe-clanova-kurziv"/>
    <w:basedOn w:val="Normal"/>
    <w:rsid w:val="00642E2B"/>
    <w:pPr>
      <w:spacing w:before="100" w:beforeAutospacing="1" w:after="100" w:afterAutospacing="1"/>
    </w:pPr>
    <w:rPr>
      <w:rFonts w:ascii="Times" w:hAnsi="Times"/>
      <w:noProof w:val="0"/>
      <w:sz w:val="20"/>
      <w:szCs w:val="20"/>
      <w:lang w:val="en-US"/>
    </w:rPr>
  </w:style>
  <w:style w:type="paragraph" w:customStyle="1" w:styleId="clan">
    <w:name w:val="clan"/>
    <w:basedOn w:val="Normal"/>
    <w:rsid w:val="00642E2B"/>
    <w:pPr>
      <w:spacing w:before="100" w:beforeAutospacing="1" w:after="100" w:afterAutospacing="1"/>
    </w:pPr>
    <w:rPr>
      <w:rFonts w:ascii="Times" w:hAnsi="Times"/>
      <w:noProof w:val="0"/>
      <w:sz w:val="20"/>
      <w:szCs w:val="20"/>
      <w:lang w:val="en-US"/>
    </w:rPr>
  </w:style>
  <w:style w:type="paragraph" w:customStyle="1" w:styleId="t-9-8">
    <w:name w:val="t-9-8"/>
    <w:basedOn w:val="Normal"/>
    <w:rsid w:val="0022484E"/>
    <w:pPr>
      <w:spacing w:before="100" w:beforeAutospacing="1" w:after="100" w:afterAutospacing="1"/>
    </w:pPr>
    <w:rPr>
      <w:rFonts w:ascii="Times" w:hAnsi="Times"/>
      <w:noProof w:val="0"/>
      <w:sz w:val="20"/>
      <w:szCs w:val="20"/>
      <w:lang w:val="en-US"/>
    </w:rPr>
  </w:style>
  <w:style w:type="paragraph" w:styleId="Footer">
    <w:name w:val="footer"/>
    <w:basedOn w:val="Normal"/>
    <w:link w:val="FooterChar"/>
    <w:uiPriority w:val="99"/>
    <w:unhideWhenUsed/>
    <w:rsid w:val="00CD7975"/>
    <w:pPr>
      <w:tabs>
        <w:tab w:val="center" w:pos="4320"/>
        <w:tab w:val="right" w:pos="8640"/>
      </w:tabs>
    </w:pPr>
  </w:style>
  <w:style w:type="character" w:customStyle="1" w:styleId="FooterChar">
    <w:name w:val="Footer Char"/>
    <w:basedOn w:val="DefaultParagraphFont"/>
    <w:link w:val="Footer"/>
    <w:uiPriority w:val="99"/>
    <w:rsid w:val="00CD7975"/>
    <w:rPr>
      <w:noProof/>
      <w:lang w:val="en-GB"/>
    </w:rPr>
  </w:style>
  <w:style w:type="character" w:styleId="PageNumber">
    <w:name w:val="page number"/>
    <w:basedOn w:val="DefaultParagraphFont"/>
    <w:uiPriority w:val="99"/>
    <w:semiHidden/>
    <w:unhideWhenUsed/>
    <w:rsid w:val="00CD7975"/>
  </w:style>
  <w:style w:type="paragraph" w:styleId="Header">
    <w:name w:val="header"/>
    <w:basedOn w:val="Normal"/>
    <w:link w:val="HeaderChar"/>
    <w:uiPriority w:val="99"/>
    <w:unhideWhenUsed/>
    <w:rsid w:val="00CD7975"/>
    <w:pPr>
      <w:tabs>
        <w:tab w:val="center" w:pos="4320"/>
        <w:tab w:val="right" w:pos="8640"/>
      </w:tabs>
    </w:pPr>
  </w:style>
  <w:style w:type="character" w:customStyle="1" w:styleId="HeaderChar">
    <w:name w:val="Header Char"/>
    <w:basedOn w:val="DefaultParagraphFont"/>
    <w:link w:val="Header"/>
    <w:uiPriority w:val="99"/>
    <w:rsid w:val="00CD7975"/>
    <w:rPr>
      <w:noProof/>
      <w:lang w:val="en-GB"/>
    </w:rPr>
  </w:style>
  <w:style w:type="paragraph" w:styleId="ListParagraph">
    <w:name w:val="List Paragraph"/>
    <w:basedOn w:val="Normal"/>
    <w:uiPriority w:val="34"/>
    <w:qFormat/>
    <w:rsid w:val="007D694C"/>
    <w:pPr>
      <w:ind w:left="720"/>
      <w:contextualSpacing/>
    </w:pPr>
  </w:style>
  <w:style w:type="character" w:customStyle="1" w:styleId="Heading2Char">
    <w:name w:val="Heading 2 Char"/>
    <w:basedOn w:val="DefaultParagraphFont"/>
    <w:link w:val="Heading2"/>
    <w:uiPriority w:val="9"/>
    <w:rsid w:val="00A11D11"/>
    <w:rPr>
      <w:rFonts w:ascii="Times" w:hAnsi="Times"/>
      <w:b/>
      <w:bCs/>
      <w:sz w:val="36"/>
      <w:szCs w:val="36"/>
    </w:rPr>
  </w:style>
  <w:style w:type="paragraph" w:styleId="NoSpacing">
    <w:name w:val="No Spacing"/>
    <w:uiPriority w:val="1"/>
    <w:qFormat/>
    <w:rsid w:val="005C250F"/>
    <w:rPr>
      <w:rFonts w:ascii="Times New Roman" w:eastAsia="Times New Roman" w:hAnsi="Times New Roman" w:cs="Times New Roman"/>
      <w:sz w:val="28"/>
      <w:szCs w:val="20"/>
    </w:rPr>
  </w:style>
  <w:style w:type="paragraph" w:styleId="NormalWeb">
    <w:name w:val="Normal (Web)"/>
    <w:basedOn w:val="Normal"/>
    <w:uiPriority w:val="99"/>
    <w:semiHidden/>
    <w:unhideWhenUsed/>
    <w:rsid w:val="00B45F1A"/>
    <w:pPr>
      <w:spacing w:before="100" w:beforeAutospacing="1" w:after="100" w:afterAutospacing="1"/>
    </w:pPr>
    <w:rPr>
      <w:rFonts w:ascii="Times" w:hAnsi="Times" w:cs="Times New Roman"/>
      <w:noProof w:val="0"/>
      <w:sz w:val="20"/>
      <w:szCs w:val="20"/>
      <w:lang w:val="en-US"/>
    </w:rPr>
  </w:style>
  <w:style w:type="character" w:styleId="Strong">
    <w:name w:val="Strong"/>
    <w:basedOn w:val="DefaultParagraphFont"/>
    <w:uiPriority w:val="22"/>
    <w:qFormat/>
    <w:rsid w:val="00B45F1A"/>
    <w:rPr>
      <w:b/>
      <w:bCs/>
    </w:rPr>
  </w:style>
  <w:style w:type="character" w:styleId="Emphasis">
    <w:name w:val="Emphasis"/>
    <w:basedOn w:val="DefaultParagraphFont"/>
    <w:uiPriority w:val="20"/>
    <w:qFormat/>
    <w:rsid w:val="00B45F1A"/>
    <w:rPr>
      <w:i/>
      <w:iCs/>
    </w:rPr>
  </w:style>
  <w:style w:type="character" w:styleId="FollowedHyperlink">
    <w:name w:val="FollowedHyperlink"/>
    <w:basedOn w:val="DefaultParagraphFont"/>
    <w:uiPriority w:val="99"/>
    <w:semiHidden/>
    <w:unhideWhenUsed/>
    <w:rsid w:val="002E629A"/>
    <w:rPr>
      <w:color w:val="800080" w:themeColor="followedHyperlink"/>
      <w:u w:val="single"/>
    </w:rPr>
  </w:style>
  <w:style w:type="table" w:styleId="LightShading">
    <w:name w:val="Light Shading"/>
    <w:basedOn w:val="TableNormal"/>
    <w:uiPriority w:val="60"/>
    <w:rsid w:val="00F73C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07175"/>
    <w:rPr>
      <w:sz w:val="18"/>
      <w:szCs w:val="18"/>
    </w:rPr>
  </w:style>
  <w:style w:type="paragraph" w:styleId="CommentText">
    <w:name w:val="annotation text"/>
    <w:basedOn w:val="Normal"/>
    <w:link w:val="CommentTextChar"/>
    <w:uiPriority w:val="99"/>
    <w:semiHidden/>
    <w:unhideWhenUsed/>
    <w:rsid w:val="00507175"/>
  </w:style>
  <w:style w:type="character" w:customStyle="1" w:styleId="CommentTextChar">
    <w:name w:val="Comment Text Char"/>
    <w:basedOn w:val="DefaultParagraphFont"/>
    <w:link w:val="CommentText"/>
    <w:uiPriority w:val="99"/>
    <w:semiHidden/>
    <w:rsid w:val="00507175"/>
    <w:rPr>
      <w:noProof/>
      <w:lang w:val="hr-HR"/>
    </w:rPr>
  </w:style>
  <w:style w:type="paragraph" w:styleId="CommentSubject">
    <w:name w:val="annotation subject"/>
    <w:basedOn w:val="CommentText"/>
    <w:next w:val="CommentText"/>
    <w:link w:val="CommentSubjectChar"/>
    <w:uiPriority w:val="99"/>
    <w:semiHidden/>
    <w:unhideWhenUsed/>
    <w:rsid w:val="00507175"/>
    <w:rPr>
      <w:b/>
      <w:bCs/>
      <w:sz w:val="20"/>
      <w:szCs w:val="20"/>
    </w:rPr>
  </w:style>
  <w:style w:type="character" w:customStyle="1" w:styleId="CommentSubjectChar">
    <w:name w:val="Comment Subject Char"/>
    <w:basedOn w:val="CommentTextChar"/>
    <w:link w:val="CommentSubject"/>
    <w:uiPriority w:val="99"/>
    <w:semiHidden/>
    <w:rsid w:val="00507175"/>
    <w:rPr>
      <w:b/>
      <w:bCs/>
      <w:noProof/>
      <w:sz w:val="20"/>
      <w:szCs w:val="20"/>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r-HR"/>
    </w:rPr>
  </w:style>
  <w:style w:type="paragraph" w:styleId="Heading2">
    <w:name w:val="heading 2"/>
    <w:basedOn w:val="Normal"/>
    <w:link w:val="Heading2Char"/>
    <w:uiPriority w:val="9"/>
    <w:qFormat/>
    <w:rsid w:val="00A11D11"/>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2BCA"/>
  </w:style>
  <w:style w:type="character" w:customStyle="1" w:styleId="FootnoteTextChar">
    <w:name w:val="Footnote Text Char"/>
    <w:basedOn w:val="DefaultParagraphFont"/>
    <w:link w:val="FootnoteText"/>
    <w:uiPriority w:val="99"/>
    <w:rsid w:val="00892BCA"/>
    <w:rPr>
      <w:noProof/>
      <w:lang w:val="en-GB"/>
    </w:rPr>
  </w:style>
  <w:style w:type="character" w:styleId="FootnoteReference">
    <w:name w:val="footnote reference"/>
    <w:basedOn w:val="DefaultParagraphFont"/>
    <w:uiPriority w:val="99"/>
    <w:unhideWhenUsed/>
    <w:rsid w:val="00892BCA"/>
    <w:rPr>
      <w:vertAlign w:val="superscript"/>
    </w:rPr>
  </w:style>
  <w:style w:type="paragraph" w:styleId="BalloonText">
    <w:name w:val="Balloon Text"/>
    <w:basedOn w:val="Normal"/>
    <w:link w:val="BalloonTextChar"/>
    <w:uiPriority w:val="99"/>
    <w:semiHidden/>
    <w:unhideWhenUsed/>
    <w:rsid w:val="005C3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225"/>
    <w:rPr>
      <w:rFonts w:ascii="Lucida Grande" w:hAnsi="Lucida Grande" w:cs="Lucida Grande"/>
      <w:noProof/>
      <w:sz w:val="18"/>
      <w:szCs w:val="18"/>
      <w:lang w:val="en-GB"/>
    </w:rPr>
  </w:style>
  <w:style w:type="table" w:styleId="TableGrid">
    <w:name w:val="Table Grid"/>
    <w:basedOn w:val="TableNormal"/>
    <w:uiPriority w:val="59"/>
    <w:rsid w:val="00A47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25108"/>
  </w:style>
  <w:style w:type="character" w:styleId="Hyperlink">
    <w:name w:val="Hyperlink"/>
    <w:basedOn w:val="DefaultParagraphFont"/>
    <w:uiPriority w:val="99"/>
    <w:unhideWhenUsed/>
    <w:rsid w:val="00925108"/>
    <w:rPr>
      <w:color w:val="0000FF"/>
      <w:u w:val="single"/>
    </w:rPr>
  </w:style>
  <w:style w:type="paragraph" w:customStyle="1" w:styleId="wyq060---pododeljak">
    <w:name w:val="wyq060---pododeljak"/>
    <w:basedOn w:val="Normal"/>
    <w:rsid w:val="00642E2B"/>
    <w:pPr>
      <w:spacing w:before="100" w:beforeAutospacing="1" w:after="100" w:afterAutospacing="1"/>
    </w:pPr>
    <w:rPr>
      <w:rFonts w:ascii="Times" w:hAnsi="Times"/>
      <w:noProof w:val="0"/>
      <w:sz w:val="20"/>
      <w:szCs w:val="20"/>
      <w:lang w:val="en-US"/>
    </w:rPr>
  </w:style>
  <w:style w:type="paragraph" w:customStyle="1" w:styleId="wyq100---naslov-grupe-clanova-kurziv">
    <w:name w:val="wyq100---naslov-grupe-clanova-kurziv"/>
    <w:basedOn w:val="Normal"/>
    <w:rsid w:val="00642E2B"/>
    <w:pPr>
      <w:spacing w:before="100" w:beforeAutospacing="1" w:after="100" w:afterAutospacing="1"/>
    </w:pPr>
    <w:rPr>
      <w:rFonts w:ascii="Times" w:hAnsi="Times"/>
      <w:noProof w:val="0"/>
      <w:sz w:val="20"/>
      <w:szCs w:val="20"/>
      <w:lang w:val="en-US"/>
    </w:rPr>
  </w:style>
  <w:style w:type="paragraph" w:customStyle="1" w:styleId="clan">
    <w:name w:val="clan"/>
    <w:basedOn w:val="Normal"/>
    <w:rsid w:val="00642E2B"/>
    <w:pPr>
      <w:spacing w:before="100" w:beforeAutospacing="1" w:after="100" w:afterAutospacing="1"/>
    </w:pPr>
    <w:rPr>
      <w:rFonts w:ascii="Times" w:hAnsi="Times"/>
      <w:noProof w:val="0"/>
      <w:sz w:val="20"/>
      <w:szCs w:val="20"/>
      <w:lang w:val="en-US"/>
    </w:rPr>
  </w:style>
  <w:style w:type="paragraph" w:customStyle="1" w:styleId="t-9-8">
    <w:name w:val="t-9-8"/>
    <w:basedOn w:val="Normal"/>
    <w:rsid w:val="0022484E"/>
    <w:pPr>
      <w:spacing w:before="100" w:beforeAutospacing="1" w:after="100" w:afterAutospacing="1"/>
    </w:pPr>
    <w:rPr>
      <w:rFonts w:ascii="Times" w:hAnsi="Times"/>
      <w:noProof w:val="0"/>
      <w:sz w:val="20"/>
      <w:szCs w:val="20"/>
      <w:lang w:val="en-US"/>
    </w:rPr>
  </w:style>
  <w:style w:type="paragraph" w:styleId="Footer">
    <w:name w:val="footer"/>
    <w:basedOn w:val="Normal"/>
    <w:link w:val="FooterChar"/>
    <w:uiPriority w:val="99"/>
    <w:unhideWhenUsed/>
    <w:rsid w:val="00CD7975"/>
    <w:pPr>
      <w:tabs>
        <w:tab w:val="center" w:pos="4320"/>
        <w:tab w:val="right" w:pos="8640"/>
      </w:tabs>
    </w:pPr>
  </w:style>
  <w:style w:type="character" w:customStyle="1" w:styleId="FooterChar">
    <w:name w:val="Footer Char"/>
    <w:basedOn w:val="DefaultParagraphFont"/>
    <w:link w:val="Footer"/>
    <w:uiPriority w:val="99"/>
    <w:rsid w:val="00CD7975"/>
    <w:rPr>
      <w:noProof/>
      <w:lang w:val="en-GB"/>
    </w:rPr>
  </w:style>
  <w:style w:type="character" w:styleId="PageNumber">
    <w:name w:val="page number"/>
    <w:basedOn w:val="DefaultParagraphFont"/>
    <w:uiPriority w:val="99"/>
    <w:semiHidden/>
    <w:unhideWhenUsed/>
    <w:rsid w:val="00CD7975"/>
  </w:style>
  <w:style w:type="paragraph" w:styleId="Header">
    <w:name w:val="header"/>
    <w:basedOn w:val="Normal"/>
    <w:link w:val="HeaderChar"/>
    <w:uiPriority w:val="99"/>
    <w:unhideWhenUsed/>
    <w:rsid w:val="00CD7975"/>
    <w:pPr>
      <w:tabs>
        <w:tab w:val="center" w:pos="4320"/>
        <w:tab w:val="right" w:pos="8640"/>
      </w:tabs>
    </w:pPr>
  </w:style>
  <w:style w:type="character" w:customStyle="1" w:styleId="HeaderChar">
    <w:name w:val="Header Char"/>
    <w:basedOn w:val="DefaultParagraphFont"/>
    <w:link w:val="Header"/>
    <w:uiPriority w:val="99"/>
    <w:rsid w:val="00CD7975"/>
    <w:rPr>
      <w:noProof/>
      <w:lang w:val="en-GB"/>
    </w:rPr>
  </w:style>
  <w:style w:type="paragraph" w:styleId="ListParagraph">
    <w:name w:val="List Paragraph"/>
    <w:basedOn w:val="Normal"/>
    <w:uiPriority w:val="34"/>
    <w:qFormat/>
    <w:rsid w:val="007D694C"/>
    <w:pPr>
      <w:ind w:left="720"/>
      <w:contextualSpacing/>
    </w:pPr>
  </w:style>
  <w:style w:type="character" w:customStyle="1" w:styleId="Heading2Char">
    <w:name w:val="Heading 2 Char"/>
    <w:basedOn w:val="DefaultParagraphFont"/>
    <w:link w:val="Heading2"/>
    <w:uiPriority w:val="9"/>
    <w:rsid w:val="00A11D11"/>
    <w:rPr>
      <w:rFonts w:ascii="Times" w:hAnsi="Times"/>
      <w:b/>
      <w:bCs/>
      <w:sz w:val="36"/>
      <w:szCs w:val="36"/>
    </w:rPr>
  </w:style>
  <w:style w:type="paragraph" w:styleId="NoSpacing">
    <w:name w:val="No Spacing"/>
    <w:uiPriority w:val="1"/>
    <w:qFormat/>
    <w:rsid w:val="005C250F"/>
    <w:rPr>
      <w:rFonts w:ascii="Times New Roman" w:eastAsia="Times New Roman" w:hAnsi="Times New Roman" w:cs="Times New Roman"/>
      <w:sz w:val="28"/>
      <w:szCs w:val="20"/>
    </w:rPr>
  </w:style>
  <w:style w:type="paragraph" w:styleId="NormalWeb">
    <w:name w:val="Normal (Web)"/>
    <w:basedOn w:val="Normal"/>
    <w:uiPriority w:val="99"/>
    <w:semiHidden/>
    <w:unhideWhenUsed/>
    <w:rsid w:val="00B45F1A"/>
    <w:pPr>
      <w:spacing w:before="100" w:beforeAutospacing="1" w:after="100" w:afterAutospacing="1"/>
    </w:pPr>
    <w:rPr>
      <w:rFonts w:ascii="Times" w:hAnsi="Times" w:cs="Times New Roman"/>
      <w:noProof w:val="0"/>
      <w:sz w:val="20"/>
      <w:szCs w:val="20"/>
      <w:lang w:val="en-US"/>
    </w:rPr>
  </w:style>
  <w:style w:type="character" w:styleId="Strong">
    <w:name w:val="Strong"/>
    <w:basedOn w:val="DefaultParagraphFont"/>
    <w:uiPriority w:val="22"/>
    <w:qFormat/>
    <w:rsid w:val="00B45F1A"/>
    <w:rPr>
      <w:b/>
      <w:bCs/>
    </w:rPr>
  </w:style>
  <w:style w:type="character" w:styleId="Emphasis">
    <w:name w:val="Emphasis"/>
    <w:basedOn w:val="DefaultParagraphFont"/>
    <w:uiPriority w:val="20"/>
    <w:qFormat/>
    <w:rsid w:val="00B45F1A"/>
    <w:rPr>
      <w:i/>
      <w:iCs/>
    </w:rPr>
  </w:style>
  <w:style w:type="character" w:styleId="FollowedHyperlink">
    <w:name w:val="FollowedHyperlink"/>
    <w:basedOn w:val="DefaultParagraphFont"/>
    <w:uiPriority w:val="99"/>
    <w:semiHidden/>
    <w:unhideWhenUsed/>
    <w:rsid w:val="002E629A"/>
    <w:rPr>
      <w:color w:val="800080" w:themeColor="followedHyperlink"/>
      <w:u w:val="single"/>
    </w:rPr>
  </w:style>
  <w:style w:type="table" w:styleId="LightShading">
    <w:name w:val="Light Shading"/>
    <w:basedOn w:val="TableNormal"/>
    <w:uiPriority w:val="60"/>
    <w:rsid w:val="00F73C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07175"/>
    <w:rPr>
      <w:sz w:val="18"/>
      <w:szCs w:val="18"/>
    </w:rPr>
  </w:style>
  <w:style w:type="paragraph" w:styleId="CommentText">
    <w:name w:val="annotation text"/>
    <w:basedOn w:val="Normal"/>
    <w:link w:val="CommentTextChar"/>
    <w:uiPriority w:val="99"/>
    <w:semiHidden/>
    <w:unhideWhenUsed/>
    <w:rsid w:val="00507175"/>
  </w:style>
  <w:style w:type="character" w:customStyle="1" w:styleId="CommentTextChar">
    <w:name w:val="Comment Text Char"/>
    <w:basedOn w:val="DefaultParagraphFont"/>
    <w:link w:val="CommentText"/>
    <w:uiPriority w:val="99"/>
    <w:semiHidden/>
    <w:rsid w:val="00507175"/>
    <w:rPr>
      <w:noProof/>
      <w:lang w:val="hr-HR"/>
    </w:rPr>
  </w:style>
  <w:style w:type="paragraph" w:styleId="CommentSubject">
    <w:name w:val="annotation subject"/>
    <w:basedOn w:val="CommentText"/>
    <w:next w:val="CommentText"/>
    <w:link w:val="CommentSubjectChar"/>
    <w:uiPriority w:val="99"/>
    <w:semiHidden/>
    <w:unhideWhenUsed/>
    <w:rsid w:val="00507175"/>
    <w:rPr>
      <w:b/>
      <w:bCs/>
      <w:sz w:val="20"/>
      <w:szCs w:val="20"/>
    </w:rPr>
  </w:style>
  <w:style w:type="character" w:customStyle="1" w:styleId="CommentSubjectChar">
    <w:name w:val="Comment Subject Char"/>
    <w:basedOn w:val="CommentTextChar"/>
    <w:link w:val="CommentSubject"/>
    <w:uiPriority w:val="99"/>
    <w:semiHidden/>
    <w:rsid w:val="00507175"/>
    <w:rPr>
      <w:b/>
      <w:bCs/>
      <w:noProof/>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1338">
      <w:bodyDiv w:val="1"/>
      <w:marLeft w:val="0"/>
      <w:marRight w:val="0"/>
      <w:marTop w:val="0"/>
      <w:marBottom w:val="0"/>
      <w:divBdr>
        <w:top w:val="none" w:sz="0" w:space="0" w:color="auto"/>
        <w:left w:val="none" w:sz="0" w:space="0" w:color="auto"/>
        <w:bottom w:val="none" w:sz="0" w:space="0" w:color="auto"/>
        <w:right w:val="none" w:sz="0" w:space="0" w:color="auto"/>
      </w:divBdr>
    </w:div>
    <w:div w:id="180556673">
      <w:bodyDiv w:val="1"/>
      <w:marLeft w:val="0"/>
      <w:marRight w:val="0"/>
      <w:marTop w:val="0"/>
      <w:marBottom w:val="0"/>
      <w:divBdr>
        <w:top w:val="none" w:sz="0" w:space="0" w:color="auto"/>
        <w:left w:val="none" w:sz="0" w:space="0" w:color="auto"/>
        <w:bottom w:val="none" w:sz="0" w:space="0" w:color="auto"/>
        <w:right w:val="none" w:sz="0" w:space="0" w:color="auto"/>
      </w:divBdr>
    </w:div>
    <w:div w:id="208958524">
      <w:bodyDiv w:val="1"/>
      <w:marLeft w:val="0"/>
      <w:marRight w:val="0"/>
      <w:marTop w:val="0"/>
      <w:marBottom w:val="0"/>
      <w:divBdr>
        <w:top w:val="none" w:sz="0" w:space="0" w:color="auto"/>
        <w:left w:val="none" w:sz="0" w:space="0" w:color="auto"/>
        <w:bottom w:val="none" w:sz="0" w:space="0" w:color="auto"/>
        <w:right w:val="none" w:sz="0" w:space="0" w:color="auto"/>
      </w:divBdr>
      <w:divsChild>
        <w:div w:id="398553983">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13337125">
      <w:bodyDiv w:val="1"/>
      <w:marLeft w:val="0"/>
      <w:marRight w:val="0"/>
      <w:marTop w:val="0"/>
      <w:marBottom w:val="0"/>
      <w:divBdr>
        <w:top w:val="none" w:sz="0" w:space="0" w:color="auto"/>
        <w:left w:val="none" w:sz="0" w:space="0" w:color="auto"/>
        <w:bottom w:val="none" w:sz="0" w:space="0" w:color="auto"/>
        <w:right w:val="none" w:sz="0" w:space="0" w:color="auto"/>
      </w:divBdr>
    </w:div>
    <w:div w:id="477653885">
      <w:bodyDiv w:val="1"/>
      <w:marLeft w:val="0"/>
      <w:marRight w:val="0"/>
      <w:marTop w:val="0"/>
      <w:marBottom w:val="0"/>
      <w:divBdr>
        <w:top w:val="none" w:sz="0" w:space="0" w:color="auto"/>
        <w:left w:val="none" w:sz="0" w:space="0" w:color="auto"/>
        <w:bottom w:val="none" w:sz="0" w:space="0" w:color="auto"/>
        <w:right w:val="none" w:sz="0" w:space="0" w:color="auto"/>
      </w:divBdr>
    </w:div>
    <w:div w:id="1049106775">
      <w:bodyDiv w:val="1"/>
      <w:marLeft w:val="0"/>
      <w:marRight w:val="0"/>
      <w:marTop w:val="0"/>
      <w:marBottom w:val="0"/>
      <w:divBdr>
        <w:top w:val="none" w:sz="0" w:space="0" w:color="auto"/>
        <w:left w:val="none" w:sz="0" w:space="0" w:color="auto"/>
        <w:bottom w:val="none" w:sz="0" w:space="0" w:color="auto"/>
        <w:right w:val="none" w:sz="0" w:space="0" w:color="auto"/>
      </w:divBdr>
    </w:div>
    <w:div w:id="1744253285">
      <w:bodyDiv w:val="1"/>
      <w:marLeft w:val="0"/>
      <w:marRight w:val="0"/>
      <w:marTop w:val="0"/>
      <w:marBottom w:val="0"/>
      <w:divBdr>
        <w:top w:val="none" w:sz="0" w:space="0" w:color="auto"/>
        <w:left w:val="none" w:sz="0" w:space="0" w:color="auto"/>
        <w:bottom w:val="none" w:sz="0" w:space="0" w:color="auto"/>
        <w:right w:val="none" w:sz="0" w:space="0" w:color="auto"/>
      </w:divBdr>
    </w:div>
    <w:div w:id="1801613084">
      <w:bodyDiv w:val="1"/>
      <w:marLeft w:val="0"/>
      <w:marRight w:val="0"/>
      <w:marTop w:val="0"/>
      <w:marBottom w:val="0"/>
      <w:divBdr>
        <w:top w:val="none" w:sz="0" w:space="0" w:color="auto"/>
        <w:left w:val="none" w:sz="0" w:space="0" w:color="auto"/>
        <w:bottom w:val="none" w:sz="0" w:space="0" w:color="auto"/>
        <w:right w:val="none" w:sz="0" w:space="0" w:color="auto"/>
      </w:divBdr>
      <w:divsChild>
        <w:div w:id="1641612715">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826816001">
      <w:bodyDiv w:val="1"/>
      <w:marLeft w:val="0"/>
      <w:marRight w:val="0"/>
      <w:marTop w:val="0"/>
      <w:marBottom w:val="0"/>
      <w:divBdr>
        <w:top w:val="none" w:sz="0" w:space="0" w:color="auto"/>
        <w:left w:val="none" w:sz="0" w:space="0" w:color="auto"/>
        <w:bottom w:val="none" w:sz="0" w:space="0" w:color="auto"/>
        <w:right w:val="none" w:sz="0" w:space="0" w:color="auto"/>
      </w:divBdr>
    </w:div>
    <w:div w:id="2058891326">
      <w:bodyDiv w:val="1"/>
      <w:marLeft w:val="0"/>
      <w:marRight w:val="0"/>
      <w:marTop w:val="0"/>
      <w:marBottom w:val="0"/>
      <w:divBdr>
        <w:top w:val="none" w:sz="0" w:space="0" w:color="auto"/>
        <w:left w:val="none" w:sz="0" w:space="0" w:color="auto"/>
        <w:bottom w:val="none" w:sz="0" w:space="0" w:color="auto"/>
        <w:right w:val="none" w:sz="0" w:space="0" w:color="auto"/>
      </w:divBdr>
    </w:div>
    <w:div w:id="2077583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pp.gov.r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jpp.hr/" TargetMode="External"/><Relationship Id="rId10" Type="http://schemas.openxmlformats.org/officeDocument/2006/relationships/hyperlink" Target="http://www.cei.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i.hr/" TargetMode="External"/><Relationship Id="rId4" Type="http://schemas.openxmlformats.org/officeDocument/2006/relationships/hyperlink" Target="http://www.ajpp.hr/naslovnica/registar.aspx" TargetMode="External"/><Relationship Id="rId5" Type="http://schemas.openxmlformats.org/officeDocument/2006/relationships/hyperlink" Target="http://cei.hr/javno-privatno-partnerstvo/" TargetMode="External"/><Relationship Id="rId1" Type="http://schemas.openxmlformats.org/officeDocument/2006/relationships/hyperlink" Target="https://portalanalitika.me/ekonomija/vijesti/61063-lazovi-crna-gora-ulazi-u-fazu-privatno-javnih-partnerstava.html" TargetMode="External"/><Relationship Id="rId2" Type="http://schemas.openxmlformats.org/officeDocument/2006/relationships/hyperlink" Target="http://www.gov.me/vijesti/134885/Savjet-za-privatizaciju-i-kapitalne-projekte-usvojio-Predlog-odluke-o-planu-privatizacije-za-2014-godi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3518-DAD0-F44C-A011-01DD8584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3498</Words>
  <Characters>19940</Characters>
  <Application>Microsoft Macintosh Word</Application>
  <DocSecurity>0</DocSecurity>
  <Lines>166</Lines>
  <Paragraphs>46</Paragraphs>
  <ScaleCrop>false</ScaleCrop>
  <Company>IA</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Marović</dc:creator>
  <cp:keywords/>
  <dc:description/>
  <cp:lastModifiedBy>Marko Sošić</cp:lastModifiedBy>
  <cp:revision>2</cp:revision>
  <dcterms:created xsi:type="dcterms:W3CDTF">2014-04-30T12:22:00Z</dcterms:created>
  <dcterms:modified xsi:type="dcterms:W3CDTF">2014-04-30T12:22:00Z</dcterms:modified>
</cp:coreProperties>
</file>