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C470" w14:textId="6C18EB75" w:rsidR="00F20F73" w:rsidRPr="0085170F" w:rsidRDefault="00552FF1" w:rsidP="00FA23E9">
      <w:pPr>
        <w:pStyle w:val="ListParagraph"/>
        <w:tabs>
          <w:tab w:val="clear" w:pos="850"/>
          <w:tab w:val="clear" w:pos="1191"/>
          <w:tab w:val="clear" w:pos="1531"/>
        </w:tabs>
        <w:spacing w:after="100" w:afterAutospacing="1"/>
        <w:ind w:left="1080"/>
        <w:jc w:val="center"/>
        <w:outlineLvl w:val="2"/>
        <w:rPr>
          <w:rFonts w:ascii="Calibri" w:eastAsia="Times New Roman" w:hAnsi="Calibri" w:cs="Calibri"/>
          <w:b/>
          <w:bCs/>
          <w:lang w:val="sr-Latn-ME"/>
        </w:rPr>
      </w:pPr>
      <w:r>
        <w:rPr>
          <w:rFonts w:ascii="Calibri" w:hAnsi="Calibri" w:cs="Calibri"/>
          <w:b/>
          <w:bCs/>
          <w:lang w:val="sr-Latn-ME"/>
        </w:rPr>
        <w:t>R</w:t>
      </w:r>
      <w:r w:rsidR="00FA23E9" w:rsidRPr="0085170F">
        <w:rPr>
          <w:rFonts w:ascii="Calibri" w:hAnsi="Calibri" w:cs="Calibri"/>
          <w:b/>
          <w:bCs/>
          <w:lang w:val="sr-Latn-ME"/>
        </w:rPr>
        <w:t xml:space="preserve">azmišljanja </w:t>
      </w:r>
      <w:r w:rsidRPr="0085170F">
        <w:rPr>
          <w:rFonts w:ascii="Calibri" w:hAnsi="Calibri" w:cs="Calibri"/>
          <w:b/>
          <w:bCs/>
          <w:lang w:val="sr-Latn-ME"/>
        </w:rPr>
        <w:t>SIGMA</w:t>
      </w:r>
      <w:r>
        <w:rPr>
          <w:rFonts w:ascii="Calibri" w:hAnsi="Calibri" w:cs="Calibri"/>
          <w:b/>
          <w:bCs/>
          <w:lang w:val="sr-Latn-ME"/>
        </w:rPr>
        <w:t>-e</w:t>
      </w:r>
      <w:r w:rsidRPr="0085170F">
        <w:rPr>
          <w:rFonts w:ascii="Calibri" w:hAnsi="Calibri" w:cs="Calibri"/>
          <w:b/>
          <w:bCs/>
          <w:lang w:val="sr-Latn-ME"/>
        </w:rPr>
        <w:t xml:space="preserve"> </w:t>
      </w:r>
      <w:r w:rsidR="00FA23E9" w:rsidRPr="0085170F">
        <w:rPr>
          <w:rFonts w:ascii="Calibri" w:hAnsi="Calibri" w:cs="Calibri"/>
          <w:b/>
          <w:bCs/>
          <w:lang w:val="sr-Latn-ME"/>
        </w:rPr>
        <w:t xml:space="preserve">o idejama za promjenu dužine trajanja mandata članova Senata DRI Crne Gore </w:t>
      </w:r>
    </w:p>
    <w:p w14:paraId="73B0B7BA" w14:textId="77777777" w:rsidR="00F20F73" w:rsidRPr="00294CD4" w:rsidRDefault="00F20F73" w:rsidP="00F20F73">
      <w:pPr>
        <w:pStyle w:val="ListParagraph"/>
        <w:tabs>
          <w:tab w:val="clear" w:pos="850"/>
          <w:tab w:val="clear" w:pos="1191"/>
          <w:tab w:val="clear" w:pos="1531"/>
        </w:tabs>
        <w:spacing w:after="100" w:afterAutospacing="1"/>
        <w:ind w:left="1080"/>
        <w:outlineLvl w:val="2"/>
        <w:rPr>
          <w:rFonts w:ascii="Calibri" w:eastAsia="Times New Roman" w:hAnsi="Calibri" w:cs="Calibri"/>
          <w:b/>
          <w:bCs/>
          <w:lang w:val="sr-Latn-ME"/>
        </w:rPr>
      </w:pPr>
    </w:p>
    <w:p w14:paraId="126112FE" w14:textId="083E0E3F" w:rsidR="00F20F73" w:rsidRPr="00294CD4" w:rsidRDefault="005219B0" w:rsidP="00F20F73">
      <w:pPr>
        <w:pStyle w:val="ListParagraph"/>
        <w:numPr>
          <w:ilvl w:val="0"/>
          <w:numId w:val="14"/>
        </w:numPr>
        <w:rPr>
          <w:rFonts w:ascii="Calibri" w:hAnsi="Calibri" w:cs="Calibri"/>
          <w:b/>
          <w:bCs/>
          <w:lang w:val="sr-Latn-ME"/>
        </w:rPr>
      </w:pPr>
      <w:r w:rsidRPr="00294CD4">
        <w:rPr>
          <w:rFonts w:ascii="Calibri" w:hAnsi="Calibri" w:cs="Calibri"/>
          <w:b/>
          <w:bCs/>
          <w:lang w:val="sr-Latn-ME"/>
        </w:rPr>
        <w:t>Uvod</w:t>
      </w:r>
    </w:p>
    <w:p w14:paraId="280141CE" w14:textId="77777777" w:rsidR="005219B0" w:rsidRPr="00294CD4" w:rsidRDefault="005219B0" w:rsidP="00F20F73">
      <w:pPr>
        <w:rPr>
          <w:rFonts w:ascii="Calibri" w:hAnsi="Calibri" w:cs="Calibri"/>
          <w:lang w:val="sr-Latn-ME"/>
        </w:rPr>
      </w:pPr>
    </w:p>
    <w:p w14:paraId="31226893" w14:textId="1A9DB844" w:rsidR="00F20F73" w:rsidRPr="00294CD4" w:rsidRDefault="005219B0" w:rsidP="00F20F73">
      <w:pPr>
        <w:rPr>
          <w:rFonts w:ascii="Calibri" w:hAnsi="Calibri" w:cs="Calibri"/>
          <w:lang w:val="sr-Latn-ME"/>
        </w:rPr>
      </w:pPr>
      <w:r w:rsidRPr="00294CD4">
        <w:rPr>
          <w:rFonts w:ascii="Calibri" w:hAnsi="Calibri" w:cs="Calibri"/>
          <w:lang w:val="sr-Latn-ME"/>
        </w:rPr>
        <w:t xml:space="preserve">SIGMA se </w:t>
      </w:r>
      <w:r w:rsidR="00AC0175">
        <w:rPr>
          <w:rFonts w:ascii="Calibri" w:hAnsi="Calibri" w:cs="Calibri"/>
          <w:lang w:val="sr-Latn-ME"/>
        </w:rPr>
        <w:t xml:space="preserve">nedavno </w:t>
      </w:r>
      <w:r w:rsidRPr="00294CD4">
        <w:rPr>
          <w:rFonts w:ascii="Calibri" w:hAnsi="Calibri" w:cs="Calibri"/>
          <w:lang w:val="sr-Latn-ME"/>
        </w:rPr>
        <w:t xml:space="preserve">upoznala sa </w:t>
      </w:r>
      <w:r w:rsidR="00FA23E9">
        <w:rPr>
          <w:rFonts w:ascii="Calibri" w:hAnsi="Calibri" w:cs="Calibri"/>
          <w:lang w:val="sr-Latn-ME"/>
        </w:rPr>
        <w:t>novinskom izjavom predsjednika</w:t>
      </w:r>
      <w:r w:rsidRPr="00294CD4">
        <w:rPr>
          <w:rFonts w:ascii="Calibri" w:hAnsi="Calibri" w:cs="Calibri"/>
          <w:lang w:val="sr-Latn-ME"/>
        </w:rPr>
        <w:t xml:space="preserve"> Skupštinskog odbora za ekonomiju, finansije i budžet Crne Gore u vezi sa izmjenama Zakona o DRI </w:t>
      </w:r>
      <w:r w:rsidR="00F20F73" w:rsidRPr="00294CD4">
        <w:rPr>
          <w:rFonts w:ascii="Calibri" w:hAnsi="Calibri" w:cs="Calibri"/>
          <w:lang w:val="sr-Latn-ME"/>
        </w:rPr>
        <w:t>(</w:t>
      </w:r>
      <w:r w:rsidRPr="00294CD4">
        <w:rPr>
          <w:rFonts w:ascii="Calibri" w:hAnsi="Calibri" w:cs="Calibri"/>
          <w:lang w:val="sr-Latn-ME"/>
        </w:rPr>
        <w:t>DRI</w:t>
      </w:r>
      <w:r w:rsidR="00F20F73" w:rsidRPr="00294CD4">
        <w:rPr>
          <w:rFonts w:ascii="Calibri" w:hAnsi="Calibri" w:cs="Calibri"/>
          <w:lang w:val="sr-Latn-ME"/>
        </w:rPr>
        <w:t>)</w:t>
      </w:r>
      <w:r w:rsidR="00F20F73" w:rsidRPr="00294CD4">
        <w:rPr>
          <w:rStyle w:val="FootnoteReference"/>
          <w:rFonts w:ascii="Calibri" w:hAnsi="Calibri" w:cs="Calibri"/>
          <w:lang w:val="sr-Latn-ME"/>
        </w:rPr>
        <w:footnoteReference w:id="1"/>
      </w:r>
      <w:r w:rsidR="00F20F73" w:rsidRPr="00294CD4">
        <w:rPr>
          <w:rFonts w:ascii="Calibri" w:hAnsi="Calibri" w:cs="Calibri"/>
          <w:lang w:val="sr-Latn-ME"/>
        </w:rPr>
        <w:t xml:space="preserve"> </w:t>
      </w:r>
      <w:r w:rsidRPr="00294CD4">
        <w:rPr>
          <w:rFonts w:ascii="Calibri" w:hAnsi="Calibri" w:cs="Calibri"/>
          <w:lang w:val="sr-Latn-ME"/>
        </w:rPr>
        <w:t>u pogledu izbor</w:t>
      </w:r>
      <w:r w:rsidR="00AC0175">
        <w:rPr>
          <w:rFonts w:ascii="Calibri" w:hAnsi="Calibri" w:cs="Calibri"/>
          <w:lang w:val="sr-Latn-ME"/>
        </w:rPr>
        <w:t>a</w:t>
      </w:r>
      <w:r w:rsidRPr="00294CD4">
        <w:rPr>
          <w:rFonts w:ascii="Calibri" w:hAnsi="Calibri" w:cs="Calibri"/>
          <w:lang w:val="sr-Latn-ME"/>
        </w:rPr>
        <w:t xml:space="preserve"> članova Senata DRI </w:t>
      </w:r>
      <w:r w:rsidR="00F20F73" w:rsidRPr="00294CD4">
        <w:rPr>
          <w:rFonts w:ascii="Calibri" w:hAnsi="Calibri" w:cs="Calibri"/>
          <w:lang w:val="sr-Latn-ME"/>
        </w:rPr>
        <w:t>(</w:t>
      </w:r>
      <w:r w:rsidRPr="00294CD4">
        <w:rPr>
          <w:rFonts w:ascii="Calibri" w:hAnsi="Calibri" w:cs="Calibri"/>
          <w:lang w:val="sr-Latn-ME"/>
        </w:rPr>
        <w:t>pod nazivom senatori</w:t>
      </w:r>
      <w:r w:rsidR="00FA23E9">
        <w:rPr>
          <w:rFonts w:ascii="Calibri" w:hAnsi="Calibri" w:cs="Calibri"/>
          <w:lang w:val="sr-Latn-ME"/>
        </w:rPr>
        <w:t>”)</w:t>
      </w:r>
      <w:r w:rsidR="00F20F73" w:rsidRPr="00294CD4">
        <w:rPr>
          <w:rFonts w:ascii="Calibri" w:hAnsi="Calibri" w:cs="Calibri"/>
          <w:lang w:val="sr-Latn-ME"/>
        </w:rPr>
        <w:t xml:space="preserve">. </w:t>
      </w:r>
      <w:r w:rsidRPr="00294CD4">
        <w:rPr>
          <w:rFonts w:ascii="Calibri" w:hAnsi="Calibri" w:cs="Calibri"/>
          <w:lang w:val="sr-Latn-ME"/>
        </w:rPr>
        <w:t>U intervjuu za novine</w:t>
      </w:r>
      <w:r w:rsidR="00F20F73" w:rsidRPr="00294CD4">
        <w:rPr>
          <w:rFonts w:ascii="Calibri" w:hAnsi="Calibri" w:cs="Calibri"/>
          <w:lang w:val="sr-Latn-ME"/>
        </w:rPr>
        <w:t xml:space="preserve">, </w:t>
      </w:r>
      <w:r w:rsidRPr="00294CD4">
        <w:rPr>
          <w:rFonts w:ascii="Calibri" w:hAnsi="Calibri" w:cs="Calibri"/>
          <w:lang w:val="sr-Latn-ME"/>
        </w:rPr>
        <w:t xml:space="preserve">predsjedavajući Odbora je izjavio da </w:t>
      </w:r>
      <w:r w:rsidR="00F20F73" w:rsidRPr="00AC0175">
        <w:rPr>
          <w:rFonts w:ascii="Calibri" w:hAnsi="Calibri" w:cs="Calibri"/>
          <w:b/>
          <w:lang w:val="sr-Latn-ME"/>
        </w:rPr>
        <w:t>“</w:t>
      </w:r>
      <w:r w:rsidRPr="00AC0175">
        <w:rPr>
          <w:rFonts w:ascii="Calibri" w:hAnsi="Calibri" w:cs="Calibri"/>
          <w:b/>
          <w:i/>
          <w:iCs/>
          <w:lang w:val="sr-Latn-ME"/>
        </w:rPr>
        <w:t>Sadašnji princip da senator praktično ima doživotan status niti je demokratski niti ispunjava evropske standarde, jer omogućavate nekom da nema potrebu za dokazivanjem niti posebnim angažovanjem, jer mu je status senatora zagarantovan</w:t>
      </w:r>
      <w:r w:rsidR="00F20F73" w:rsidRPr="00AC0175">
        <w:rPr>
          <w:rFonts w:ascii="Calibri" w:hAnsi="Calibri" w:cs="Calibri"/>
          <w:b/>
          <w:lang w:val="sr-Latn-ME"/>
        </w:rPr>
        <w:t>”</w:t>
      </w:r>
      <w:r w:rsidR="00FA23E9">
        <w:rPr>
          <w:rStyle w:val="FootnoteReference"/>
          <w:rFonts w:cs="Calibri"/>
          <w:b/>
          <w:lang w:val="sr-Latn-ME"/>
        </w:rPr>
        <w:footnoteReference w:id="2"/>
      </w:r>
      <w:r w:rsidR="00F20F73" w:rsidRPr="00AC0175">
        <w:rPr>
          <w:rFonts w:ascii="Calibri" w:hAnsi="Calibri" w:cs="Calibri"/>
          <w:b/>
          <w:lang w:val="sr-Latn-ME"/>
        </w:rPr>
        <w:t xml:space="preserve">. </w:t>
      </w:r>
      <w:r w:rsidRPr="00294CD4">
        <w:rPr>
          <w:rFonts w:ascii="Calibri" w:hAnsi="Calibri" w:cs="Calibri"/>
          <w:lang w:val="sr-Latn-ME"/>
        </w:rPr>
        <w:t>On je predložio izmjene Zakona u prvom kvartalu ove godine, 2023. godine dodajući da se razmatra kao prihvatljivo rješenje da se senator bira na četiri godine u maksimalno dva mandata</w:t>
      </w:r>
      <w:r w:rsidR="00F20F73" w:rsidRPr="00294CD4">
        <w:rPr>
          <w:rFonts w:ascii="Calibri" w:hAnsi="Calibri" w:cs="Calibri"/>
          <w:lang w:val="sr-Latn-ME"/>
        </w:rPr>
        <w:t>.</w:t>
      </w:r>
    </w:p>
    <w:p w14:paraId="1012A220" w14:textId="77777777" w:rsidR="00F20F73" w:rsidRPr="00294CD4" w:rsidRDefault="00F20F73" w:rsidP="00F20F73">
      <w:pPr>
        <w:rPr>
          <w:rFonts w:ascii="Calibri" w:hAnsi="Calibri" w:cs="Calibri"/>
          <w:lang w:val="sr-Latn-ME"/>
        </w:rPr>
      </w:pPr>
    </w:p>
    <w:p w14:paraId="1DF36E50" w14:textId="3127C6DB" w:rsidR="0086706B" w:rsidRPr="00AC0175" w:rsidRDefault="005219B0" w:rsidP="00F20F73">
      <w:pPr>
        <w:rPr>
          <w:rFonts w:ascii="Calibri" w:hAnsi="Calibri" w:cs="Calibri"/>
          <w:b/>
          <w:i/>
          <w:lang w:val="sr-Latn-ME"/>
        </w:rPr>
      </w:pPr>
      <w:r w:rsidRPr="00294CD4">
        <w:rPr>
          <w:rFonts w:ascii="Calibri" w:hAnsi="Calibri" w:cs="Calibri"/>
          <w:lang w:val="sr-Latn-ME"/>
        </w:rPr>
        <w:t xml:space="preserve">Izmjene propisa državnih </w:t>
      </w:r>
      <w:r w:rsidR="00E95E1D" w:rsidRPr="00294CD4">
        <w:rPr>
          <w:rFonts w:ascii="Calibri" w:hAnsi="Calibri" w:cs="Calibri"/>
          <w:lang w:val="sr-Latn-ME"/>
        </w:rPr>
        <w:t>organa</w:t>
      </w:r>
      <w:r w:rsidRPr="00294CD4">
        <w:rPr>
          <w:rFonts w:ascii="Calibri" w:hAnsi="Calibri" w:cs="Calibri"/>
          <w:lang w:val="sr-Latn-ME"/>
        </w:rPr>
        <w:t xml:space="preserve"> zem</w:t>
      </w:r>
      <w:r w:rsidR="00E95E1D" w:rsidRPr="00294CD4">
        <w:rPr>
          <w:rFonts w:ascii="Calibri" w:hAnsi="Calibri" w:cs="Calibri"/>
          <w:lang w:val="sr-Latn-ME"/>
        </w:rPr>
        <w:t>a</w:t>
      </w:r>
      <w:r w:rsidRPr="00294CD4">
        <w:rPr>
          <w:rFonts w:ascii="Calibri" w:hAnsi="Calibri" w:cs="Calibri"/>
          <w:lang w:val="sr-Latn-ME"/>
        </w:rPr>
        <w:t>lj</w:t>
      </w:r>
      <w:r w:rsidR="00E95E1D" w:rsidRPr="00294CD4">
        <w:rPr>
          <w:rFonts w:ascii="Calibri" w:hAnsi="Calibri" w:cs="Calibri"/>
          <w:lang w:val="sr-Latn-ME"/>
        </w:rPr>
        <w:t>a</w:t>
      </w:r>
      <w:r w:rsidRPr="00294CD4">
        <w:rPr>
          <w:rFonts w:ascii="Calibri" w:hAnsi="Calibri" w:cs="Calibri"/>
          <w:lang w:val="sr-Latn-ME"/>
        </w:rPr>
        <w:t xml:space="preserve"> kandidata za pristupanje EU, kao što je Crna Gora, moraju biti u skladu sa </w:t>
      </w:r>
      <w:r w:rsidR="00AC0175">
        <w:rPr>
          <w:rFonts w:ascii="Calibri" w:hAnsi="Calibri" w:cs="Calibri"/>
          <w:lang w:val="sr-Latn-ME"/>
        </w:rPr>
        <w:t>„</w:t>
      </w:r>
      <w:r w:rsidRPr="00294CD4">
        <w:rPr>
          <w:rFonts w:ascii="Calibri" w:hAnsi="Calibri" w:cs="Calibri"/>
          <w:lang w:val="sr-Latn-ME"/>
        </w:rPr>
        <w:t>čvrstim</w:t>
      </w:r>
      <w:r w:rsidR="00AC0175">
        <w:rPr>
          <w:rFonts w:ascii="Calibri" w:hAnsi="Calibri" w:cs="Calibri"/>
          <w:lang w:val="sr-Latn-ME"/>
        </w:rPr>
        <w:t>“</w:t>
      </w:r>
      <w:r w:rsidRPr="00294CD4">
        <w:rPr>
          <w:rFonts w:ascii="Calibri" w:hAnsi="Calibri" w:cs="Calibri"/>
          <w:lang w:val="sr-Latn-ME"/>
        </w:rPr>
        <w:t xml:space="preserve"> i </w:t>
      </w:r>
      <w:r w:rsidR="00AC0175">
        <w:rPr>
          <w:rFonts w:ascii="Calibri" w:hAnsi="Calibri" w:cs="Calibri"/>
          <w:lang w:val="sr-Latn-ME"/>
        </w:rPr>
        <w:t>„</w:t>
      </w:r>
      <w:r w:rsidRPr="00294CD4">
        <w:rPr>
          <w:rFonts w:ascii="Calibri" w:hAnsi="Calibri" w:cs="Calibri"/>
          <w:lang w:val="sr-Latn-ME"/>
        </w:rPr>
        <w:t>mekim</w:t>
      </w:r>
      <w:r w:rsidR="00AC0175">
        <w:rPr>
          <w:rFonts w:ascii="Calibri" w:hAnsi="Calibri" w:cs="Calibri"/>
          <w:lang w:val="sr-Latn-ME"/>
        </w:rPr>
        <w:t>“</w:t>
      </w:r>
      <w:r w:rsidRPr="00294CD4">
        <w:rPr>
          <w:rFonts w:ascii="Calibri" w:hAnsi="Calibri" w:cs="Calibri"/>
          <w:lang w:val="sr-Latn-ME"/>
        </w:rPr>
        <w:t xml:space="preserve"> pravnim tekovinama EU. Što se tiče VRI, zaht</w:t>
      </w:r>
      <w:r w:rsidR="00E95E1D" w:rsidRPr="00294CD4">
        <w:rPr>
          <w:rFonts w:ascii="Calibri" w:hAnsi="Calibri" w:cs="Calibri"/>
          <w:lang w:val="sr-Latn-ME"/>
        </w:rPr>
        <w:t>j</w:t>
      </w:r>
      <w:r w:rsidRPr="00294CD4">
        <w:rPr>
          <w:rFonts w:ascii="Calibri" w:hAnsi="Calibri" w:cs="Calibri"/>
          <w:lang w:val="sr-Latn-ME"/>
        </w:rPr>
        <w:t>evi su navedeni u poglavlju 32 (Finansijska kontrola). Ovo poglavlje zaht</w:t>
      </w:r>
      <w:r w:rsidR="00E95E1D" w:rsidRPr="00294CD4">
        <w:rPr>
          <w:rFonts w:ascii="Calibri" w:hAnsi="Calibri" w:cs="Calibri"/>
          <w:lang w:val="sr-Latn-ME"/>
        </w:rPr>
        <w:t>j</w:t>
      </w:r>
      <w:r w:rsidRPr="00294CD4">
        <w:rPr>
          <w:rFonts w:ascii="Calibri" w:hAnsi="Calibri" w:cs="Calibri"/>
          <w:lang w:val="sr-Latn-ME"/>
        </w:rPr>
        <w:t>eva da Državna revizorska institucija poštuje standarde Međunarodne organizacije vrhovnih revizorskih institucija (INTOSAI), uključujući obezb</w:t>
      </w:r>
      <w:r w:rsidR="00E95E1D" w:rsidRPr="00294CD4">
        <w:rPr>
          <w:rFonts w:ascii="Calibri" w:hAnsi="Calibri" w:cs="Calibri"/>
          <w:lang w:val="sr-Latn-ME"/>
        </w:rPr>
        <w:t>j</w:t>
      </w:r>
      <w:r w:rsidRPr="00294CD4">
        <w:rPr>
          <w:rFonts w:ascii="Calibri" w:hAnsi="Calibri" w:cs="Calibri"/>
          <w:lang w:val="sr-Latn-ME"/>
        </w:rPr>
        <w:t>eđivanje finansijske, funkcionalne</w:t>
      </w:r>
      <w:r w:rsidR="00AC0175">
        <w:rPr>
          <w:rFonts w:ascii="Calibri" w:hAnsi="Calibri" w:cs="Calibri"/>
          <w:lang w:val="sr-Latn-ME"/>
        </w:rPr>
        <w:t xml:space="preserve"> i institucionalne nezavisnosti;</w:t>
      </w:r>
      <w:r w:rsidRPr="00294CD4">
        <w:rPr>
          <w:rFonts w:ascii="Calibri" w:hAnsi="Calibri" w:cs="Calibri"/>
          <w:lang w:val="sr-Latn-ME"/>
        </w:rPr>
        <w:t xml:space="preserve"> sprovođenje </w:t>
      </w:r>
      <w:r w:rsidR="00E95E1D" w:rsidRPr="00294CD4">
        <w:rPr>
          <w:rFonts w:ascii="Calibri" w:hAnsi="Calibri" w:cs="Calibri"/>
          <w:lang w:val="sr-Latn-ME"/>
        </w:rPr>
        <w:t>finansijskih revizija i revizija uspjeha</w:t>
      </w:r>
      <w:r w:rsidRPr="00294CD4">
        <w:rPr>
          <w:rFonts w:ascii="Calibri" w:hAnsi="Calibri" w:cs="Calibri"/>
          <w:lang w:val="sr-Latn-ME"/>
        </w:rPr>
        <w:t xml:space="preserve"> i obezbeđivanje dovoljnih administrativnih kapaciteta. Nedavni izvještaji EU o </w:t>
      </w:r>
      <w:r w:rsidR="00E95E1D" w:rsidRPr="00294CD4">
        <w:rPr>
          <w:rFonts w:ascii="Calibri" w:hAnsi="Calibri" w:cs="Calibri"/>
          <w:lang w:val="sr-Latn-ME"/>
        </w:rPr>
        <w:t xml:space="preserve">napretku </w:t>
      </w:r>
      <w:r w:rsidRPr="00294CD4">
        <w:rPr>
          <w:rFonts w:ascii="Calibri" w:hAnsi="Calibri" w:cs="Calibri"/>
          <w:lang w:val="sr-Latn-ME"/>
        </w:rPr>
        <w:t>Crne Gore nisu iznijeli nikakvu kritiku na pravni okvir ili revizorski rad DRI. U najnovijem izv</w:t>
      </w:r>
      <w:r w:rsidR="00E95E1D" w:rsidRPr="00294CD4">
        <w:rPr>
          <w:rFonts w:ascii="Calibri" w:hAnsi="Calibri" w:cs="Calibri"/>
          <w:lang w:val="sr-Latn-ME"/>
        </w:rPr>
        <w:t>j</w:t>
      </w:r>
      <w:r w:rsidRPr="00294CD4">
        <w:rPr>
          <w:rFonts w:ascii="Calibri" w:hAnsi="Calibri" w:cs="Calibri"/>
          <w:lang w:val="sr-Latn-ME"/>
        </w:rPr>
        <w:t>eštaju SIGMA-e, koji m</w:t>
      </w:r>
      <w:r w:rsidR="00E95E1D" w:rsidRPr="00294CD4">
        <w:rPr>
          <w:rFonts w:ascii="Calibri" w:hAnsi="Calibri" w:cs="Calibri"/>
          <w:lang w:val="sr-Latn-ME"/>
        </w:rPr>
        <w:t>j</w:t>
      </w:r>
      <w:r w:rsidRPr="00294CD4">
        <w:rPr>
          <w:rFonts w:ascii="Calibri" w:hAnsi="Calibri" w:cs="Calibri"/>
          <w:lang w:val="sr-Latn-ME"/>
        </w:rPr>
        <w:t xml:space="preserve">eri napredak reformi u odnosu na principe javne uprave, dolazi se do zaključka da je </w:t>
      </w:r>
      <w:r w:rsidRPr="00AC0175">
        <w:rPr>
          <w:rFonts w:ascii="Calibri" w:hAnsi="Calibri" w:cs="Calibri"/>
          <w:b/>
          <w:i/>
          <w:lang w:val="sr-Latn-ME"/>
        </w:rPr>
        <w:t xml:space="preserve">„Nezavisnost Državne revizorske institucije (DRI) </w:t>
      </w:r>
      <w:r w:rsidR="00E95E1D" w:rsidRPr="00AC0175">
        <w:rPr>
          <w:rFonts w:ascii="Calibri" w:hAnsi="Calibri" w:cs="Calibri"/>
          <w:b/>
          <w:i/>
          <w:lang w:val="sr-Latn-ME"/>
        </w:rPr>
        <w:t>je obezbjeđena</w:t>
      </w:r>
      <w:r w:rsidRPr="00AC0175">
        <w:rPr>
          <w:rFonts w:ascii="Calibri" w:hAnsi="Calibri" w:cs="Calibri"/>
          <w:b/>
          <w:i/>
          <w:lang w:val="sr-Latn-ME"/>
        </w:rPr>
        <w:t>, ali eksterna revizija nije u potpunosti efikasna zbog ograničene upotrebe</w:t>
      </w:r>
      <w:r w:rsidR="008B3DEE" w:rsidRPr="00AC0175">
        <w:rPr>
          <w:rFonts w:ascii="Calibri" w:hAnsi="Calibri" w:cs="Calibri"/>
          <w:b/>
          <w:i/>
          <w:lang w:val="sr-Latn-ME"/>
        </w:rPr>
        <w:t xml:space="preserve"> revizorskih</w:t>
      </w:r>
      <w:r w:rsidRPr="00AC0175">
        <w:rPr>
          <w:rFonts w:ascii="Calibri" w:hAnsi="Calibri" w:cs="Calibri"/>
          <w:b/>
          <w:i/>
          <w:lang w:val="sr-Latn-ME"/>
        </w:rPr>
        <w:t xml:space="preserve"> </w:t>
      </w:r>
      <w:r w:rsidR="00E95E1D" w:rsidRPr="00AC0175">
        <w:rPr>
          <w:rFonts w:ascii="Calibri" w:hAnsi="Calibri" w:cs="Calibri"/>
          <w:b/>
          <w:i/>
          <w:lang w:val="sr-Latn-ME"/>
        </w:rPr>
        <w:t xml:space="preserve">izvještaja </w:t>
      </w:r>
      <w:r w:rsidR="008B3DEE" w:rsidRPr="00AC0175">
        <w:rPr>
          <w:rFonts w:ascii="Calibri" w:hAnsi="Calibri" w:cs="Calibri"/>
          <w:b/>
          <w:i/>
          <w:lang w:val="sr-Latn-ME"/>
        </w:rPr>
        <w:t>od strane</w:t>
      </w:r>
      <w:r w:rsidR="00E95E1D" w:rsidRPr="00AC0175">
        <w:rPr>
          <w:rFonts w:ascii="Calibri" w:hAnsi="Calibri" w:cs="Calibri"/>
          <w:b/>
          <w:i/>
          <w:lang w:val="sr-Latn-ME"/>
        </w:rPr>
        <w:t xml:space="preserve"> </w:t>
      </w:r>
      <w:r w:rsidRPr="00AC0175">
        <w:rPr>
          <w:rFonts w:ascii="Calibri" w:hAnsi="Calibri" w:cs="Calibri"/>
          <w:b/>
          <w:i/>
          <w:lang w:val="sr-Latn-ME"/>
        </w:rPr>
        <w:t>Parlamenta</w:t>
      </w:r>
      <w:r w:rsidR="000D365A" w:rsidRPr="00AC0175">
        <w:rPr>
          <w:rFonts w:ascii="Calibri" w:hAnsi="Calibri" w:cs="Calibri"/>
          <w:b/>
          <w:i/>
          <w:lang w:val="sr-Latn-ME"/>
        </w:rPr>
        <w:t>”</w:t>
      </w:r>
      <w:r w:rsidR="000D365A" w:rsidRPr="00AC0175">
        <w:rPr>
          <w:rStyle w:val="FootnoteReference"/>
          <w:rFonts w:cs="Calibri"/>
          <w:b/>
          <w:i/>
          <w:lang w:val="sr-Latn-ME"/>
        </w:rPr>
        <w:footnoteReference w:id="3"/>
      </w:r>
      <w:r w:rsidR="000D365A" w:rsidRPr="00AC0175">
        <w:rPr>
          <w:rFonts w:ascii="Calibri" w:hAnsi="Calibri" w:cs="Calibri"/>
          <w:b/>
          <w:i/>
          <w:lang w:val="sr-Latn-ME"/>
        </w:rPr>
        <w:t xml:space="preserve">.  </w:t>
      </w:r>
    </w:p>
    <w:p w14:paraId="6D34DE56" w14:textId="561C3A16" w:rsidR="008B3DEE" w:rsidRPr="00294CD4" w:rsidRDefault="008B3DEE" w:rsidP="008B3DEE">
      <w:pPr>
        <w:rPr>
          <w:lang w:val="sr-Latn-ME"/>
        </w:rPr>
      </w:pPr>
    </w:p>
    <w:p w14:paraId="2B1564EC" w14:textId="38DB0BCD" w:rsidR="008B3DEE" w:rsidRPr="00294CD4" w:rsidRDefault="008B3DEE" w:rsidP="008B3DEE">
      <w:pPr>
        <w:rPr>
          <w:rFonts w:ascii="Calibri" w:hAnsi="Calibri" w:cs="Calibri"/>
          <w:lang w:val="sr-Latn-ME"/>
        </w:rPr>
      </w:pPr>
      <w:r w:rsidRPr="00294CD4">
        <w:rPr>
          <w:rFonts w:ascii="Calibri" w:hAnsi="Calibri" w:cs="Calibri"/>
          <w:lang w:val="sr-Latn-ME"/>
        </w:rPr>
        <w:t xml:space="preserve">Iako </w:t>
      </w:r>
      <w:r w:rsidR="00AC0175">
        <w:rPr>
          <w:rFonts w:ascii="Calibri" w:hAnsi="Calibri" w:cs="Calibri"/>
          <w:lang w:val="sr-Latn-ME"/>
        </w:rPr>
        <w:t>sa stanovišta</w:t>
      </w:r>
      <w:r w:rsidRPr="00294CD4">
        <w:rPr>
          <w:rFonts w:ascii="Calibri" w:hAnsi="Calibri" w:cs="Calibri"/>
          <w:lang w:val="sr-Latn-ME"/>
        </w:rPr>
        <w:t xml:space="preserve"> EU nema stvarne potrebe za izmjenom </w:t>
      </w:r>
      <w:r w:rsidR="00AC0175">
        <w:rPr>
          <w:rFonts w:ascii="Calibri" w:hAnsi="Calibri" w:cs="Calibri"/>
          <w:lang w:val="sr-Latn-ME"/>
        </w:rPr>
        <w:t>Z</w:t>
      </w:r>
      <w:r w:rsidRPr="00294CD4">
        <w:rPr>
          <w:rFonts w:ascii="Calibri" w:hAnsi="Calibri" w:cs="Calibri"/>
          <w:lang w:val="sr-Latn-ME"/>
        </w:rPr>
        <w:t xml:space="preserve">akona, to ne znači da promjene ne mogu poboljšati način na koji se DRI </w:t>
      </w:r>
      <w:r w:rsidR="00F45458">
        <w:rPr>
          <w:rFonts w:ascii="Calibri" w:hAnsi="Calibri" w:cs="Calibri"/>
          <w:lang w:val="sr-Latn-ME"/>
        </w:rPr>
        <w:t xml:space="preserve">treba </w:t>
      </w:r>
      <w:r w:rsidRPr="00294CD4">
        <w:rPr>
          <w:rFonts w:ascii="Calibri" w:hAnsi="Calibri" w:cs="Calibri"/>
          <w:lang w:val="sr-Latn-ME"/>
        </w:rPr>
        <w:t>upravlja</w:t>
      </w:r>
      <w:r w:rsidR="00F45458">
        <w:rPr>
          <w:rFonts w:ascii="Calibri" w:hAnsi="Calibri" w:cs="Calibri"/>
          <w:lang w:val="sr-Latn-ME"/>
        </w:rPr>
        <w:t>ti</w:t>
      </w:r>
      <w:r w:rsidRPr="00294CD4">
        <w:rPr>
          <w:rFonts w:ascii="Calibri" w:hAnsi="Calibri" w:cs="Calibri"/>
          <w:lang w:val="sr-Latn-ME"/>
        </w:rPr>
        <w:t xml:space="preserve"> u budućnosti. Međutim, što se tiče pravnog osnova bilo koje nezavisne institucije, takve izmjene ne bi trebalo da se vrše prenagljeno, već samo nakon pažljivog razmatranja i iz racionalnih razloga, nakon odgovarajuće analize i konsultacija sa svim relevantnim zainteresovanim stranama.</w:t>
      </w:r>
    </w:p>
    <w:p w14:paraId="6ECD72C5" w14:textId="77777777" w:rsidR="008B3DEE" w:rsidRPr="00294CD4" w:rsidRDefault="008B3DEE" w:rsidP="008B3DEE">
      <w:pPr>
        <w:rPr>
          <w:rFonts w:ascii="Calibri" w:hAnsi="Calibri" w:cs="Calibri"/>
          <w:lang w:val="sr-Latn-ME"/>
        </w:rPr>
      </w:pPr>
    </w:p>
    <w:p w14:paraId="35E26D7B" w14:textId="663208F7" w:rsidR="00F20F73" w:rsidRPr="00294CD4" w:rsidRDefault="008B3DEE" w:rsidP="008B3DEE">
      <w:pPr>
        <w:rPr>
          <w:rFonts w:ascii="Calibri" w:hAnsi="Calibri" w:cs="Calibri"/>
          <w:lang w:val="sr-Latn-ME"/>
        </w:rPr>
      </w:pPr>
      <w:r w:rsidRPr="00294CD4">
        <w:rPr>
          <w:rFonts w:ascii="Calibri" w:hAnsi="Calibri" w:cs="Calibri"/>
          <w:lang w:val="sr-Latn-ME"/>
        </w:rPr>
        <w:t>U ovom dokumentu, SIGMA daje ocjenu i  iznosi svoje stavove u kojoj mjeri su gore navedeni planovi u skladu sa međunarodnim standardima vrhovnih revizorskih institucija i dobrom evropskom praksom.</w:t>
      </w:r>
    </w:p>
    <w:p w14:paraId="3D3AF826" w14:textId="76841485" w:rsidR="005219B0" w:rsidRPr="00294CD4" w:rsidRDefault="005219B0" w:rsidP="00AC0175">
      <w:pPr>
        <w:rPr>
          <w:rFonts w:ascii="Calibri" w:hAnsi="Calibri" w:cs="Calibri"/>
          <w:lang w:val="sr-Latn-ME"/>
        </w:rPr>
      </w:pPr>
    </w:p>
    <w:p w14:paraId="62B88042" w14:textId="1EBCE394" w:rsidR="00F20F73" w:rsidRPr="00294CD4" w:rsidRDefault="005219B0" w:rsidP="00F20F73">
      <w:pPr>
        <w:pStyle w:val="ListParagraph"/>
        <w:numPr>
          <w:ilvl w:val="0"/>
          <w:numId w:val="14"/>
        </w:numPr>
        <w:rPr>
          <w:rFonts w:ascii="Calibri" w:hAnsi="Calibri" w:cs="Calibri"/>
          <w:b/>
          <w:bCs/>
          <w:lang w:val="sr-Latn-ME"/>
        </w:rPr>
      </w:pPr>
      <w:r w:rsidRPr="00294CD4">
        <w:rPr>
          <w:rFonts w:ascii="Calibri" w:hAnsi="Calibri" w:cs="Calibri"/>
          <w:b/>
          <w:bCs/>
          <w:lang w:val="sr-Latn-ME"/>
        </w:rPr>
        <w:t>Nezavisnost VRI</w:t>
      </w:r>
    </w:p>
    <w:p w14:paraId="5B1D574A" w14:textId="77777777" w:rsidR="00F20F73" w:rsidRPr="00294CD4" w:rsidRDefault="00F20F73" w:rsidP="00F20F73">
      <w:pPr>
        <w:pStyle w:val="ListParagraph"/>
        <w:ind w:left="1080"/>
        <w:rPr>
          <w:rFonts w:ascii="Calibri" w:hAnsi="Calibri" w:cs="Calibri"/>
          <w:b/>
          <w:bCs/>
          <w:lang w:val="sr-Latn-ME"/>
        </w:rPr>
      </w:pPr>
    </w:p>
    <w:p w14:paraId="0FAAA0A1" w14:textId="48DDB827" w:rsidR="00F20F73" w:rsidRPr="00294CD4" w:rsidRDefault="008B3DEE" w:rsidP="00F20F73">
      <w:pPr>
        <w:rPr>
          <w:rFonts w:ascii="Calibri" w:hAnsi="Calibri" w:cs="Calibri"/>
          <w:lang w:val="sr-Latn-ME"/>
        </w:rPr>
      </w:pPr>
      <w:r w:rsidRPr="00294CD4">
        <w:rPr>
          <w:rFonts w:ascii="Calibri" w:hAnsi="Calibri" w:cs="Calibri"/>
          <w:lang w:val="sr-Latn-ME"/>
        </w:rPr>
        <w:t xml:space="preserve">Nezavisnost jeste jedan od najosnovnijih i najkritičnijih zahtjeva za efikasno funkcionisanje </w:t>
      </w:r>
      <w:r w:rsidR="00FA23E9">
        <w:rPr>
          <w:rFonts w:ascii="Calibri" w:hAnsi="Calibri" w:cs="Calibri"/>
          <w:lang w:val="sr-Latn-ME"/>
        </w:rPr>
        <w:t xml:space="preserve">vrhovnih </w:t>
      </w:r>
      <w:r w:rsidRPr="00294CD4">
        <w:rPr>
          <w:rFonts w:ascii="Calibri" w:hAnsi="Calibri" w:cs="Calibri"/>
          <w:lang w:val="sr-Latn-ME"/>
        </w:rPr>
        <w:t xml:space="preserve"> revizorskih institucija (</w:t>
      </w:r>
      <w:r w:rsidR="00FA23E9">
        <w:rPr>
          <w:rFonts w:ascii="Calibri" w:hAnsi="Calibri" w:cs="Calibri"/>
          <w:lang w:val="sr-Latn-ME"/>
        </w:rPr>
        <w:t>V</w:t>
      </w:r>
      <w:r w:rsidRPr="00294CD4">
        <w:rPr>
          <w:rFonts w:ascii="Calibri" w:hAnsi="Calibri" w:cs="Calibri"/>
          <w:lang w:val="sr-Latn-ME"/>
        </w:rPr>
        <w:t>RI). VRI moraju biti nezavisne kako bi ispunile svoje ključne funkcije fiskalnog nadzora i ojačale državne institucije.</w:t>
      </w:r>
    </w:p>
    <w:p w14:paraId="1FE105CD" w14:textId="77777777" w:rsidR="00F20F73" w:rsidRPr="00294CD4" w:rsidRDefault="00F20F73" w:rsidP="00F20F73">
      <w:pPr>
        <w:rPr>
          <w:rFonts w:ascii="Calibri" w:hAnsi="Calibri" w:cs="Calibri"/>
          <w:lang w:val="sr-Latn-ME"/>
        </w:rPr>
      </w:pPr>
    </w:p>
    <w:p w14:paraId="43002FE2" w14:textId="57782C75" w:rsidR="008B3DEE" w:rsidRPr="00294CD4" w:rsidRDefault="008B3DEE" w:rsidP="008B3DEE">
      <w:pPr>
        <w:shd w:val="clear" w:color="auto" w:fill="FBFBFB"/>
        <w:tabs>
          <w:tab w:val="clear" w:pos="850"/>
          <w:tab w:val="clear" w:pos="1191"/>
          <w:tab w:val="clear" w:pos="1531"/>
        </w:tabs>
        <w:spacing w:after="100" w:afterAutospacing="1"/>
        <w:rPr>
          <w:rFonts w:ascii="Calibri" w:eastAsia="Times New Roman" w:hAnsi="Calibri" w:cs="Calibri"/>
          <w:lang w:val="sr-Latn-ME"/>
        </w:rPr>
      </w:pPr>
      <w:r w:rsidRPr="00294CD4">
        <w:rPr>
          <w:rFonts w:ascii="Calibri" w:eastAsia="Times New Roman" w:hAnsi="Calibri" w:cs="Calibri"/>
          <w:lang w:val="sr-Latn-ME"/>
        </w:rPr>
        <w:lastRenderedPageBreak/>
        <w:t>INTOSAI – Međunarodna organizacija vrhovnih revizorskih institucija – odavno je prepoznala značaj nezavisnosti VRI i bila je ključna u definisanju koncepta nezavisnosti VRI. Principi nezavisnosti VRI postavljeni su usvajanjem dva ključna dokumenta: INTOSAI Lima i Meksičke deklaracije. Generalna Skupština Ujedinjenih nacija prepoznala je značaj ovih dokumenata u Rezoluciji A/69/228</w:t>
      </w:r>
      <w:r w:rsidR="00F20F73" w:rsidRPr="00294CD4">
        <w:rPr>
          <w:rStyle w:val="FootnoteReference"/>
          <w:rFonts w:ascii="Calibri" w:eastAsia="Times New Roman" w:hAnsi="Calibri" w:cs="Calibri"/>
          <w:lang w:val="sr-Latn-ME"/>
        </w:rPr>
        <w:footnoteReference w:id="4"/>
      </w:r>
      <w:r w:rsidR="00F20F73" w:rsidRPr="00294CD4">
        <w:rPr>
          <w:rFonts w:ascii="Calibri" w:eastAsia="Times New Roman" w:hAnsi="Calibri" w:cs="Calibri"/>
          <w:lang w:val="sr-Latn-ME"/>
        </w:rPr>
        <w:t xml:space="preserve"> </w:t>
      </w:r>
      <w:r w:rsidRPr="00294CD4">
        <w:rPr>
          <w:rFonts w:ascii="Calibri" w:eastAsia="Times New Roman" w:hAnsi="Calibri" w:cs="Calibri"/>
          <w:lang w:val="sr-Latn-ME"/>
        </w:rPr>
        <w:t>i ohrabrila sve države članice da primjenjuju ove deklaracije u skladu sa svojim nacionalnim institucionalnim strukturama.</w:t>
      </w:r>
    </w:p>
    <w:p w14:paraId="4F50E6C9" w14:textId="239635F1" w:rsidR="00F20F73" w:rsidRPr="00294CD4" w:rsidRDefault="00F20F73" w:rsidP="00F20F73">
      <w:pPr>
        <w:pStyle w:val="ListParagraph"/>
        <w:numPr>
          <w:ilvl w:val="0"/>
          <w:numId w:val="13"/>
        </w:numPr>
        <w:shd w:val="clear" w:color="auto" w:fill="FBFBFB"/>
        <w:tabs>
          <w:tab w:val="clear" w:pos="850"/>
          <w:tab w:val="clear" w:pos="1191"/>
          <w:tab w:val="clear" w:pos="1531"/>
        </w:tabs>
        <w:spacing w:after="100" w:afterAutospacing="1"/>
        <w:rPr>
          <w:rFonts w:ascii="Calibri" w:eastAsia="Times New Roman" w:hAnsi="Calibri" w:cs="Calibri"/>
          <w:b/>
          <w:bCs/>
          <w:lang w:val="sr-Latn-ME"/>
        </w:rPr>
      </w:pPr>
      <w:r w:rsidRPr="00294CD4">
        <w:rPr>
          <w:rFonts w:ascii="Calibri" w:eastAsia="Times New Roman" w:hAnsi="Calibri" w:cs="Calibri"/>
          <w:b/>
          <w:bCs/>
          <w:lang w:val="sr-Latn-ME"/>
        </w:rPr>
        <w:t xml:space="preserve">Lima </w:t>
      </w:r>
      <w:r w:rsidR="005219B0" w:rsidRPr="00294CD4">
        <w:rPr>
          <w:rFonts w:ascii="Calibri" w:eastAsia="Times New Roman" w:hAnsi="Calibri" w:cs="Calibri"/>
          <w:b/>
          <w:bCs/>
          <w:lang w:val="sr-Latn-ME"/>
        </w:rPr>
        <w:t>Deklaracija</w:t>
      </w:r>
    </w:p>
    <w:p w14:paraId="6DB287AE" w14:textId="2B034AB9" w:rsidR="00F20F73" w:rsidRPr="00294CD4" w:rsidRDefault="008B3DEE" w:rsidP="00F20F73">
      <w:pPr>
        <w:shd w:val="clear" w:color="auto" w:fill="FBFBFB"/>
        <w:tabs>
          <w:tab w:val="clear" w:pos="850"/>
          <w:tab w:val="clear" w:pos="1191"/>
          <w:tab w:val="clear" w:pos="1531"/>
        </w:tabs>
        <w:spacing w:after="100" w:afterAutospacing="1"/>
        <w:rPr>
          <w:rFonts w:ascii="Calibri" w:eastAsia="Times New Roman" w:hAnsi="Calibri" w:cs="Calibri"/>
          <w:lang w:val="sr-Latn-ME"/>
        </w:rPr>
      </w:pPr>
      <w:r w:rsidRPr="00294CD4">
        <w:rPr>
          <w:rFonts w:ascii="Calibri" w:eastAsia="Times New Roman" w:hAnsi="Calibri" w:cs="Calibri"/>
          <w:lang w:val="sr-Latn-ME"/>
        </w:rPr>
        <w:t>Lima Deklaracija</w:t>
      </w:r>
      <w:r w:rsidR="00F20F73" w:rsidRPr="00294CD4">
        <w:rPr>
          <w:rFonts w:ascii="Calibri" w:eastAsia="Times New Roman" w:hAnsi="Calibri" w:cs="Calibri"/>
          <w:b/>
          <w:bCs/>
          <w:lang w:val="sr-Latn-ME"/>
        </w:rPr>
        <w:t xml:space="preserve"> </w:t>
      </w:r>
      <w:r w:rsidR="00F20F73" w:rsidRPr="00294CD4">
        <w:rPr>
          <w:rFonts w:ascii="Calibri" w:eastAsia="Times New Roman" w:hAnsi="Calibri" w:cs="Calibri"/>
          <w:lang w:val="sr-Latn-ME"/>
        </w:rPr>
        <w:t>(</w:t>
      </w:r>
      <w:r w:rsidRPr="00294CD4">
        <w:rPr>
          <w:rFonts w:ascii="Calibri" w:eastAsia="Times New Roman" w:hAnsi="Calibri" w:cs="Calibri"/>
          <w:lang w:val="sr-Latn-ME"/>
        </w:rPr>
        <w:t>trenutno</w:t>
      </w:r>
      <w:r w:rsidR="00F20F73" w:rsidRPr="00294CD4">
        <w:rPr>
          <w:rFonts w:ascii="Calibri" w:eastAsia="Times New Roman" w:hAnsi="Calibri" w:cs="Calibri"/>
          <w:lang w:val="sr-Latn-ME"/>
        </w:rPr>
        <w:t xml:space="preserve"> INTOSAI P-1)</w:t>
      </w:r>
      <w:r w:rsidR="00F20F73" w:rsidRPr="00294CD4">
        <w:rPr>
          <w:rStyle w:val="FootnoteReference"/>
          <w:rFonts w:ascii="Calibri" w:eastAsia="Times New Roman" w:hAnsi="Calibri" w:cs="Calibri"/>
          <w:lang w:val="sr-Latn-ME"/>
        </w:rPr>
        <w:footnoteReference w:id="5"/>
      </w:r>
      <w:r w:rsidR="00F20F73" w:rsidRPr="00294CD4">
        <w:rPr>
          <w:rFonts w:ascii="Calibri" w:eastAsia="Times New Roman" w:hAnsi="Calibri" w:cs="Calibri"/>
          <w:lang w:val="sr-Latn-ME"/>
        </w:rPr>
        <w:t xml:space="preserve">, </w:t>
      </w:r>
      <w:r w:rsidRPr="00294CD4">
        <w:rPr>
          <w:rFonts w:ascii="Calibri" w:eastAsia="Times New Roman" w:hAnsi="Calibri" w:cs="Calibri"/>
          <w:lang w:val="sr-Latn-ME"/>
        </w:rPr>
        <w:t xml:space="preserve">usvojena </w:t>
      </w:r>
      <w:r w:rsidR="00F20F73" w:rsidRPr="00294CD4">
        <w:rPr>
          <w:rFonts w:ascii="Calibri" w:eastAsia="Times New Roman" w:hAnsi="Calibri" w:cs="Calibri"/>
          <w:lang w:val="sr-Latn-ME"/>
        </w:rPr>
        <w:t>1977</w:t>
      </w:r>
      <w:r w:rsidRPr="00294CD4">
        <w:rPr>
          <w:rFonts w:ascii="Calibri" w:eastAsia="Times New Roman" w:hAnsi="Calibri" w:cs="Calibri"/>
          <w:lang w:val="sr-Latn-ME"/>
        </w:rPr>
        <w:t>. godine</w:t>
      </w:r>
      <w:r w:rsidR="00F20F73" w:rsidRPr="00294CD4">
        <w:rPr>
          <w:rFonts w:ascii="Calibri" w:eastAsia="Times New Roman" w:hAnsi="Calibri" w:cs="Calibri"/>
          <w:lang w:val="sr-Latn-ME"/>
        </w:rPr>
        <w:t xml:space="preserve">, </w:t>
      </w:r>
      <w:r w:rsidRPr="00294CD4">
        <w:rPr>
          <w:rFonts w:ascii="Calibri" w:eastAsia="Times New Roman" w:hAnsi="Calibri" w:cs="Calibri"/>
          <w:lang w:val="sr-Latn-ME"/>
        </w:rPr>
        <w:t xml:space="preserve">postavlja principe nezavisnosti revizije javnog sektora u metodološkom i </w:t>
      </w:r>
      <w:r w:rsidR="005733AE" w:rsidRPr="00294CD4">
        <w:rPr>
          <w:rFonts w:ascii="Calibri" w:eastAsia="Times New Roman" w:hAnsi="Calibri" w:cs="Calibri"/>
          <w:lang w:val="sr-Latn-ME"/>
        </w:rPr>
        <w:t>profesionalnom</w:t>
      </w:r>
      <w:r w:rsidRPr="00294CD4">
        <w:rPr>
          <w:rFonts w:ascii="Calibri" w:eastAsia="Times New Roman" w:hAnsi="Calibri" w:cs="Calibri"/>
          <w:lang w:val="sr-Latn-ME"/>
        </w:rPr>
        <w:t xml:space="preserve"> pogledu. Deklaracija je bila prvi INTOSAI dokument koji je na sveobuhvatan način </w:t>
      </w:r>
      <w:r w:rsidR="005733AE" w:rsidRPr="00294CD4">
        <w:rPr>
          <w:rFonts w:ascii="Calibri" w:eastAsia="Times New Roman" w:hAnsi="Calibri" w:cs="Calibri"/>
          <w:lang w:val="sr-Latn-ME"/>
        </w:rPr>
        <w:t>istaknuo</w:t>
      </w:r>
      <w:r w:rsidRPr="00294CD4">
        <w:rPr>
          <w:rFonts w:ascii="Calibri" w:eastAsia="Times New Roman" w:hAnsi="Calibri" w:cs="Calibri"/>
          <w:lang w:val="sr-Latn-ME"/>
        </w:rPr>
        <w:t xml:space="preserve"> važnost nezavisnosti VRI, pods</w:t>
      </w:r>
      <w:r w:rsidR="005733AE" w:rsidRPr="00294CD4">
        <w:rPr>
          <w:rFonts w:ascii="Calibri" w:eastAsia="Times New Roman" w:hAnsi="Calibri" w:cs="Calibri"/>
          <w:lang w:val="sr-Latn-ME"/>
        </w:rPr>
        <w:t>j</w:t>
      </w:r>
      <w:r w:rsidRPr="00294CD4">
        <w:rPr>
          <w:rFonts w:ascii="Calibri" w:eastAsia="Times New Roman" w:hAnsi="Calibri" w:cs="Calibri"/>
          <w:lang w:val="sr-Latn-ME"/>
        </w:rPr>
        <w:t xml:space="preserve">ećajući </w:t>
      </w:r>
      <w:r w:rsidR="005733AE" w:rsidRPr="00294CD4">
        <w:rPr>
          <w:rFonts w:ascii="Calibri" w:eastAsia="Times New Roman" w:hAnsi="Calibri" w:cs="Calibri"/>
          <w:lang w:val="sr-Latn-ME"/>
        </w:rPr>
        <w:t>članice</w:t>
      </w:r>
      <w:r w:rsidRPr="00294CD4">
        <w:rPr>
          <w:rFonts w:ascii="Calibri" w:eastAsia="Times New Roman" w:hAnsi="Calibri" w:cs="Calibri"/>
          <w:lang w:val="sr-Latn-ME"/>
        </w:rPr>
        <w:t xml:space="preserve"> INTOSAI</w:t>
      </w:r>
      <w:r w:rsidR="005733AE" w:rsidRPr="00294CD4">
        <w:rPr>
          <w:rFonts w:ascii="Calibri" w:eastAsia="Times New Roman" w:hAnsi="Calibri" w:cs="Calibri"/>
          <w:lang w:val="sr-Latn-ME"/>
        </w:rPr>
        <w:t>-a</w:t>
      </w:r>
      <w:r w:rsidRPr="00294CD4">
        <w:rPr>
          <w:rFonts w:ascii="Calibri" w:eastAsia="Times New Roman" w:hAnsi="Calibri" w:cs="Calibri"/>
          <w:lang w:val="sr-Latn-ME"/>
        </w:rPr>
        <w:t xml:space="preserve"> i njihove zainteresovane strane da VRI mogu biti objektivne, kredibilne i efikasne samo ako su nezavisne od subjekta revizije i zaštićene od spoljnog uticaja. Principi postavljeni u </w:t>
      </w:r>
      <w:r w:rsidR="005733AE" w:rsidRPr="00294CD4">
        <w:rPr>
          <w:rFonts w:ascii="Calibri" w:eastAsia="Times New Roman" w:hAnsi="Calibri" w:cs="Calibri"/>
          <w:lang w:val="sr-Latn-ME"/>
        </w:rPr>
        <w:t xml:space="preserve">poglavljima </w:t>
      </w:r>
      <w:r w:rsidRPr="00294CD4">
        <w:rPr>
          <w:rFonts w:ascii="Calibri" w:eastAsia="Times New Roman" w:hAnsi="Calibri" w:cs="Calibri"/>
          <w:lang w:val="sr-Latn-ME"/>
        </w:rPr>
        <w:t xml:space="preserve">5 do 7 Deklaracije mogu se </w:t>
      </w:r>
      <w:r w:rsidR="005733AE" w:rsidRPr="00294CD4">
        <w:rPr>
          <w:rFonts w:ascii="Calibri" w:eastAsia="Times New Roman" w:hAnsi="Calibri" w:cs="Calibri"/>
          <w:lang w:val="sr-Latn-ME"/>
        </w:rPr>
        <w:t xml:space="preserve">ukratko </w:t>
      </w:r>
      <w:r w:rsidR="00341305">
        <w:rPr>
          <w:rFonts w:ascii="Calibri" w:eastAsia="Times New Roman" w:hAnsi="Calibri" w:cs="Calibri"/>
          <w:lang w:val="sr-Latn-ME"/>
        </w:rPr>
        <w:t>sažeti</w:t>
      </w:r>
      <w:r w:rsidR="005733AE" w:rsidRPr="00294CD4">
        <w:rPr>
          <w:rFonts w:ascii="Calibri" w:eastAsia="Times New Roman" w:hAnsi="Calibri" w:cs="Calibri"/>
          <w:lang w:val="sr-Latn-ME"/>
        </w:rPr>
        <w:t xml:space="preserve"> u smislu</w:t>
      </w:r>
      <w:r w:rsidR="00F20F73" w:rsidRPr="00294CD4">
        <w:rPr>
          <w:rStyle w:val="FootnoteReference"/>
          <w:rFonts w:ascii="Calibri" w:eastAsia="Times New Roman" w:hAnsi="Calibri" w:cs="Calibri"/>
          <w:lang w:val="sr-Latn-ME"/>
        </w:rPr>
        <w:footnoteReference w:id="6"/>
      </w:r>
      <w:r w:rsidR="00F20F73" w:rsidRPr="00294CD4">
        <w:rPr>
          <w:rFonts w:ascii="Calibri" w:eastAsia="Times New Roman" w:hAnsi="Calibri" w:cs="Calibri"/>
          <w:lang w:val="sr-Latn-ME"/>
        </w:rPr>
        <w:t>:</w:t>
      </w:r>
    </w:p>
    <w:p w14:paraId="750C162B" w14:textId="34C8EE95" w:rsidR="00F20F73" w:rsidRPr="00294CD4" w:rsidRDefault="00F20F73" w:rsidP="005733AE">
      <w:pPr>
        <w:numPr>
          <w:ilvl w:val="0"/>
          <w:numId w:val="11"/>
        </w:numPr>
        <w:shd w:val="clear" w:color="auto" w:fill="FBFBFB"/>
        <w:tabs>
          <w:tab w:val="clear" w:pos="850"/>
          <w:tab w:val="clear" w:pos="1191"/>
          <w:tab w:val="clear" w:pos="1531"/>
        </w:tabs>
        <w:spacing w:before="100" w:beforeAutospacing="1" w:after="100" w:afterAutospacing="1"/>
        <w:rPr>
          <w:rFonts w:ascii="Calibri" w:eastAsia="Times New Roman" w:hAnsi="Calibri" w:cs="Calibri"/>
          <w:lang w:val="sr-Latn-ME"/>
        </w:rPr>
      </w:pPr>
      <w:r w:rsidRPr="00294CD4">
        <w:rPr>
          <w:rFonts w:ascii="Calibri" w:eastAsia="Times New Roman" w:hAnsi="Calibri" w:cs="Calibri"/>
          <w:b/>
          <w:bCs/>
          <w:lang w:val="sr-Latn-ME"/>
        </w:rPr>
        <w:t>O</w:t>
      </w:r>
      <w:r w:rsidR="005733AE" w:rsidRPr="00294CD4">
        <w:rPr>
          <w:rFonts w:ascii="Calibri" w:eastAsia="Times New Roman" w:hAnsi="Calibri" w:cs="Calibri"/>
          <w:b/>
          <w:bCs/>
          <w:lang w:val="sr-Latn-ME"/>
        </w:rPr>
        <w:t>rganizaciona nezavisnost</w:t>
      </w:r>
      <w:r w:rsidRPr="00294CD4">
        <w:rPr>
          <w:rFonts w:ascii="Calibri" w:eastAsia="Times New Roman" w:hAnsi="Calibri" w:cs="Calibri"/>
          <w:lang w:val="sr-Latn-ME"/>
        </w:rPr>
        <w:t> </w:t>
      </w:r>
      <w:r w:rsidR="005733AE" w:rsidRPr="00294CD4">
        <w:rPr>
          <w:lang w:val="sr-Latn-ME"/>
        </w:rPr>
        <w:t xml:space="preserve"> </w:t>
      </w:r>
      <w:r w:rsidR="00341305">
        <w:rPr>
          <w:rFonts w:ascii="Calibri" w:eastAsia="Times New Roman" w:hAnsi="Calibri" w:cs="Calibri"/>
          <w:lang w:val="sr-Latn-ME"/>
        </w:rPr>
        <w:t>podrazumijeva</w:t>
      </w:r>
      <w:r w:rsidR="005733AE" w:rsidRPr="00294CD4">
        <w:rPr>
          <w:rFonts w:ascii="Calibri" w:eastAsia="Times New Roman" w:hAnsi="Calibri" w:cs="Calibri"/>
          <w:lang w:val="sr-Latn-ME"/>
        </w:rPr>
        <w:t xml:space="preserve"> obezbjeđivanje nezavisnosti članova DRI (postupanje bez uticaja; nema mogu</w:t>
      </w:r>
      <w:r w:rsidR="00341305">
        <w:rPr>
          <w:rFonts w:ascii="Calibri" w:eastAsia="Times New Roman" w:hAnsi="Calibri" w:cs="Calibri"/>
          <w:lang w:val="sr-Latn-ME"/>
        </w:rPr>
        <w:t>ćnosti samovoljnog otpuštanja)</w:t>
      </w:r>
      <w:r w:rsidR="005733AE" w:rsidRPr="00294CD4">
        <w:rPr>
          <w:rFonts w:ascii="Calibri" w:eastAsia="Times New Roman" w:hAnsi="Calibri" w:cs="Calibri"/>
          <w:lang w:val="sr-Latn-ME"/>
        </w:rPr>
        <w:t xml:space="preserve"> i ovlašćenja rukovodioca DRI u svim kadrovskim pitanjima, kao i nepostojanje spoljnih uticaja na rad revizora.</w:t>
      </w:r>
    </w:p>
    <w:p w14:paraId="6BBB687A" w14:textId="13AFAD10" w:rsidR="00F20F73" w:rsidRPr="00294CD4" w:rsidRDefault="005733AE" w:rsidP="005733AE">
      <w:pPr>
        <w:numPr>
          <w:ilvl w:val="0"/>
          <w:numId w:val="11"/>
        </w:numPr>
        <w:shd w:val="clear" w:color="auto" w:fill="FBFBFB"/>
        <w:tabs>
          <w:tab w:val="clear" w:pos="850"/>
          <w:tab w:val="clear" w:pos="1191"/>
          <w:tab w:val="clear" w:pos="1531"/>
        </w:tabs>
        <w:spacing w:before="100" w:beforeAutospacing="1" w:after="100" w:afterAutospacing="1"/>
        <w:rPr>
          <w:rFonts w:ascii="Calibri" w:eastAsia="Times New Roman" w:hAnsi="Calibri" w:cs="Calibri"/>
          <w:lang w:val="sr-Latn-ME"/>
        </w:rPr>
      </w:pPr>
      <w:r w:rsidRPr="00294CD4">
        <w:rPr>
          <w:rFonts w:ascii="Calibri" w:eastAsia="Times New Roman" w:hAnsi="Calibri" w:cs="Calibri"/>
          <w:b/>
          <w:bCs/>
          <w:lang w:val="sr-Latn-ME"/>
        </w:rPr>
        <w:t xml:space="preserve">Funkcionalna nezavisnost </w:t>
      </w:r>
      <w:r w:rsidRPr="00294CD4">
        <w:rPr>
          <w:rFonts w:ascii="Calibri" w:eastAsia="Times New Roman" w:hAnsi="Calibri" w:cs="Calibri"/>
          <w:lang w:val="sr-Latn-ME"/>
        </w:rPr>
        <w:t>podrazumjeva da su revizorska ovlašćenja DRI propisana Ustavom, barem uopšteno; DRI je slobodna da uspost</w:t>
      </w:r>
      <w:r w:rsidR="00341305">
        <w:rPr>
          <w:rFonts w:ascii="Calibri" w:eastAsia="Times New Roman" w:hAnsi="Calibri" w:cs="Calibri"/>
          <w:lang w:val="sr-Latn-ME"/>
        </w:rPr>
        <w:t xml:space="preserve">avi sopstveni program revizije; </w:t>
      </w:r>
      <w:r w:rsidRPr="00294CD4">
        <w:rPr>
          <w:rFonts w:ascii="Calibri" w:eastAsia="Times New Roman" w:hAnsi="Calibri" w:cs="Calibri"/>
          <w:lang w:val="sr-Latn-ME"/>
        </w:rPr>
        <w:t>DRI je slobodna u izradi izvještaja koji se objavljuju javno.</w:t>
      </w:r>
    </w:p>
    <w:p w14:paraId="0FA41014" w14:textId="6D81C248" w:rsidR="00F20F73" w:rsidRPr="00294CD4" w:rsidRDefault="005733AE" w:rsidP="005733AE">
      <w:pPr>
        <w:numPr>
          <w:ilvl w:val="0"/>
          <w:numId w:val="11"/>
        </w:numPr>
        <w:shd w:val="clear" w:color="auto" w:fill="FBFBFB"/>
        <w:tabs>
          <w:tab w:val="clear" w:pos="850"/>
          <w:tab w:val="clear" w:pos="1191"/>
          <w:tab w:val="clear" w:pos="1531"/>
        </w:tabs>
        <w:spacing w:before="100" w:beforeAutospacing="1" w:after="100" w:afterAutospacing="1"/>
        <w:rPr>
          <w:rFonts w:ascii="Calibri" w:eastAsia="Times New Roman" w:hAnsi="Calibri" w:cs="Calibri"/>
          <w:lang w:val="sr-Latn-ME"/>
        </w:rPr>
      </w:pPr>
      <w:r w:rsidRPr="00294CD4">
        <w:rPr>
          <w:rFonts w:ascii="Calibri" w:eastAsia="Times New Roman" w:hAnsi="Calibri" w:cs="Calibri"/>
          <w:b/>
          <w:bCs/>
          <w:lang w:val="sr-Latn-ME"/>
        </w:rPr>
        <w:t>Finansijska nezavisnost</w:t>
      </w:r>
      <w:r w:rsidRPr="00294CD4">
        <w:rPr>
          <w:lang w:val="sr-Latn-ME"/>
        </w:rPr>
        <w:t xml:space="preserve"> </w:t>
      </w:r>
      <w:r w:rsidRPr="00294CD4">
        <w:rPr>
          <w:rFonts w:ascii="Calibri" w:eastAsia="Times New Roman" w:hAnsi="Calibri" w:cs="Calibri"/>
          <w:lang w:val="sr-Latn-ME"/>
        </w:rPr>
        <w:t xml:space="preserve">podrazumjeva da VRI mogu direktno da zatraže potrebna sredstva organu koji donosi državni budžet (Skupštini), po potrebi, a DRI mogu slobodno raspolagati </w:t>
      </w:r>
      <w:r w:rsidR="00341305">
        <w:rPr>
          <w:rFonts w:ascii="Calibri" w:eastAsia="Times New Roman" w:hAnsi="Calibri" w:cs="Calibri"/>
          <w:lang w:val="sr-Latn-ME"/>
        </w:rPr>
        <w:t xml:space="preserve">svojim </w:t>
      </w:r>
      <w:r w:rsidRPr="00294CD4">
        <w:rPr>
          <w:rFonts w:ascii="Calibri" w:eastAsia="Times New Roman" w:hAnsi="Calibri" w:cs="Calibri"/>
          <w:lang w:val="sr-Latn-ME"/>
        </w:rPr>
        <w:t>budžetom tokom finansijske godine.</w:t>
      </w:r>
    </w:p>
    <w:p w14:paraId="1A2ED89D" w14:textId="428C0D70" w:rsidR="00F20F73" w:rsidRPr="00294CD4" w:rsidRDefault="005733AE" w:rsidP="00534B71">
      <w:pPr>
        <w:shd w:val="clear" w:color="auto" w:fill="FFFFFF"/>
        <w:tabs>
          <w:tab w:val="clear" w:pos="850"/>
          <w:tab w:val="clear" w:pos="1191"/>
          <w:tab w:val="clear" w:pos="1531"/>
        </w:tabs>
        <w:spacing w:after="100" w:afterAutospacing="1"/>
        <w:rPr>
          <w:rFonts w:ascii="Calibri" w:eastAsia="Times New Roman" w:hAnsi="Calibri" w:cs="Calibri"/>
          <w:b/>
          <w:lang w:val="sr-Latn-ME"/>
        </w:rPr>
      </w:pPr>
      <w:r w:rsidRPr="00294CD4">
        <w:rPr>
          <w:rFonts w:ascii="Calibri" w:eastAsia="Times New Roman" w:hAnsi="Calibri" w:cs="Calibri"/>
          <w:lang w:val="sr-Latn-ME"/>
        </w:rPr>
        <w:t xml:space="preserve">Nezavisnost VRI, međutim, nije jednostavno uspostaviti, i u stvari obuhvata dva različita elementa. Prvo, tu je </w:t>
      </w:r>
      <w:r w:rsidRPr="00294CD4">
        <w:rPr>
          <w:rFonts w:ascii="Calibri" w:eastAsia="Times New Roman" w:hAnsi="Calibri" w:cs="Calibri"/>
          <w:b/>
          <w:lang w:val="sr-Latn-ME"/>
        </w:rPr>
        <w:t>„de jure nezavisnost“,</w:t>
      </w:r>
      <w:r w:rsidRPr="00294CD4">
        <w:rPr>
          <w:rFonts w:ascii="Calibri" w:eastAsia="Times New Roman" w:hAnsi="Calibri" w:cs="Calibri"/>
          <w:lang w:val="sr-Latn-ME"/>
        </w:rPr>
        <w:t xml:space="preserve"> što su zahtjevi nezavisnosti koji treba da budu sadržani u zakonskom okviru DRI. Ali nezavisnost uključuje mnogo više od </w:t>
      </w:r>
      <w:r w:rsidR="00341305">
        <w:rPr>
          <w:rFonts w:ascii="Calibri" w:eastAsia="Times New Roman" w:hAnsi="Calibri" w:cs="Calibri"/>
          <w:lang w:val="sr-Latn-ME"/>
        </w:rPr>
        <w:t>skupa</w:t>
      </w:r>
      <w:r w:rsidRPr="00294CD4">
        <w:rPr>
          <w:rFonts w:ascii="Calibri" w:eastAsia="Times New Roman" w:hAnsi="Calibri" w:cs="Calibri"/>
          <w:lang w:val="sr-Latn-ME"/>
        </w:rPr>
        <w:t xml:space="preserve"> pravila. Koliko god da su </w:t>
      </w:r>
      <w:r w:rsidR="00341305">
        <w:rPr>
          <w:rFonts w:ascii="Calibri" w:eastAsia="Times New Roman" w:hAnsi="Calibri" w:cs="Calibri"/>
          <w:lang w:val="sr-Latn-ME"/>
        </w:rPr>
        <w:t xml:space="preserve">izrazi o nezavisnosti u Ustavu i Zakonu </w:t>
      </w:r>
      <w:r w:rsidRPr="00294CD4">
        <w:rPr>
          <w:rFonts w:ascii="Calibri" w:eastAsia="Times New Roman" w:hAnsi="Calibri" w:cs="Calibri"/>
          <w:lang w:val="sr-Latn-ME"/>
        </w:rPr>
        <w:t xml:space="preserve">važni, za VRI je takođe od suštinskog značaja da izgrade svoju nezavisnost u praksi. Ova nezavisnost u praksi je drugi element i naziva se </w:t>
      </w:r>
      <w:r w:rsidRPr="00294CD4">
        <w:rPr>
          <w:rFonts w:ascii="Calibri" w:eastAsia="Times New Roman" w:hAnsi="Calibri" w:cs="Calibri"/>
          <w:b/>
          <w:lang w:val="sr-Latn-ME"/>
        </w:rPr>
        <w:t>„de facto nezavisnost“.</w:t>
      </w:r>
    </w:p>
    <w:p w14:paraId="1238C6E5" w14:textId="51873E44" w:rsidR="00F20F73" w:rsidRPr="00294CD4" w:rsidRDefault="005733AE" w:rsidP="00F20F73">
      <w:pPr>
        <w:pStyle w:val="ListParagraph"/>
        <w:numPr>
          <w:ilvl w:val="0"/>
          <w:numId w:val="13"/>
        </w:numPr>
        <w:shd w:val="clear" w:color="auto" w:fill="FBFBFB"/>
        <w:tabs>
          <w:tab w:val="clear" w:pos="850"/>
          <w:tab w:val="clear" w:pos="1191"/>
          <w:tab w:val="clear" w:pos="1531"/>
        </w:tabs>
        <w:spacing w:after="100" w:afterAutospacing="1"/>
        <w:rPr>
          <w:rFonts w:ascii="Calibri" w:eastAsia="Times New Roman" w:hAnsi="Calibri" w:cs="Calibri"/>
          <w:b/>
          <w:bCs/>
          <w:lang w:val="sr-Latn-ME"/>
        </w:rPr>
      </w:pPr>
      <w:r w:rsidRPr="00294CD4">
        <w:rPr>
          <w:rFonts w:ascii="Calibri" w:eastAsia="Times New Roman" w:hAnsi="Calibri" w:cs="Calibri"/>
          <w:b/>
          <w:bCs/>
          <w:lang w:val="sr-Latn-ME"/>
        </w:rPr>
        <w:t xml:space="preserve">Meksička Deklaracija </w:t>
      </w:r>
    </w:p>
    <w:p w14:paraId="2732FA16" w14:textId="2279F3CD" w:rsidR="00F20F73" w:rsidRPr="00294CD4" w:rsidRDefault="005733AE" w:rsidP="00F20F73">
      <w:pPr>
        <w:shd w:val="clear" w:color="auto" w:fill="FBFBFB"/>
        <w:tabs>
          <w:tab w:val="clear" w:pos="850"/>
          <w:tab w:val="clear" w:pos="1191"/>
          <w:tab w:val="clear" w:pos="1531"/>
        </w:tabs>
        <w:spacing w:after="100" w:afterAutospacing="1"/>
        <w:rPr>
          <w:rFonts w:ascii="Calibri" w:eastAsia="Times New Roman" w:hAnsi="Calibri" w:cs="Calibri"/>
          <w:lang w:val="sr-Latn-ME"/>
        </w:rPr>
      </w:pPr>
      <w:r w:rsidRPr="00294CD4">
        <w:rPr>
          <w:rFonts w:ascii="Calibri" w:eastAsia="Times New Roman" w:hAnsi="Calibri" w:cs="Calibri"/>
          <w:lang w:val="sr-Latn-ME"/>
        </w:rPr>
        <w:t>Nakon sve većeg prepoznavanja izazova sa kojima se suočavaju VRI, INTOSAI je 2007. godine izdao drugi ključni dokument, poznat kao Meksička deklaracija</w:t>
      </w:r>
      <w:r w:rsidR="00F20F73" w:rsidRPr="00294CD4">
        <w:rPr>
          <w:rStyle w:val="FootnoteReference"/>
          <w:rFonts w:ascii="Calibri" w:eastAsia="Times New Roman" w:hAnsi="Calibri" w:cs="Calibri"/>
          <w:lang w:val="sr-Latn-ME"/>
        </w:rPr>
        <w:footnoteReference w:id="7"/>
      </w:r>
      <w:r w:rsidR="00F20F73" w:rsidRPr="00294CD4">
        <w:rPr>
          <w:rFonts w:ascii="Calibri" w:eastAsia="Times New Roman" w:hAnsi="Calibri" w:cs="Calibri"/>
          <w:lang w:val="sr-Latn-ME"/>
        </w:rPr>
        <w:t xml:space="preserve">. </w:t>
      </w:r>
      <w:r w:rsidRPr="00294CD4">
        <w:rPr>
          <w:rFonts w:ascii="Calibri" w:eastAsia="Times New Roman" w:hAnsi="Calibri" w:cs="Calibri"/>
          <w:lang w:val="sr-Latn-ME"/>
        </w:rPr>
        <w:t>Meksička deklaracija, koja je sada poznata kao INTOSAI-P10, proširuje principe definisane Deklaracijom iz Lime i ističe osam zahtjeva, poznatih kao osam stubova nezavisnosti, što predstavlja mjerilo sa kojim se može porediti nezavisnost VRI.</w:t>
      </w:r>
    </w:p>
    <w:p w14:paraId="69B0EEFD" w14:textId="7CE06E45" w:rsidR="00F20F73" w:rsidRPr="00294CD4" w:rsidRDefault="005733AE" w:rsidP="00F20F73">
      <w:pPr>
        <w:shd w:val="clear" w:color="auto" w:fill="FFFFFF"/>
        <w:tabs>
          <w:tab w:val="clear" w:pos="850"/>
          <w:tab w:val="clear" w:pos="1191"/>
          <w:tab w:val="clear" w:pos="1531"/>
        </w:tabs>
        <w:spacing w:after="100" w:afterAutospacing="1"/>
        <w:rPr>
          <w:rFonts w:ascii="Calibri" w:eastAsia="Times New Roman" w:hAnsi="Calibri" w:cs="Calibri"/>
          <w:lang w:val="sr-Latn-ME"/>
        </w:rPr>
      </w:pPr>
      <w:r w:rsidRPr="00294CD4">
        <w:rPr>
          <w:rFonts w:ascii="Calibri" w:eastAsia="Times New Roman" w:hAnsi="Calibri" w:cs="Calibri"/>
          <w:lang w:val="sr-Latn-ME"/>
        </w:rPr>
        <w:t>Meksička deklaracija iz 2007. godine sadrži osam principa nezavisnosti VRI</w:t>
      </w:r>
      <w:r w:rsidR="00F20F73" w:rsidRPr="00294CD4">
        <w:rPr>
          <w:rFonts w:ascii="Calibri" w:eastAsia="Times New Roman" w:hAnsi="Calibri" w:cs="Calibri"/>
          <w:lang w:val="sr-Latn-ME"/>
        </w:rPr>
        <w:t>:</w:t>
      </w:r>
    </w:p>
    <w:p w14:paraId="43CD4750" w14:textId="48A96933" w:rsidR="00F20F73" w:rsidRPr="00294CD4" w:rsidRDefault="005733AE" w:rsidP="005733AE">
      <w:pPr>
        <w:numPr>
          <w:ilvl w:val="0"/>
          <w:numId w:val="12"/>
        </w:numPr>
        <w:shd w:val="clear" w:color="auto" w:fill="FFFFFF"/>
        <w:tabs>
          <w:tab w:val="clear" w:pos="850"/>
          <w:tab w:val="clear" w:pos="1191"/>
          <w:tab w:val="clear" w:pos="1531"/>
        </w:tabs>
        <w:spacing w:before="100" w:beforeAutospacing="1" w:after="100" w:afterAutospacing="1"/>
        <w:rPr>
          <w:rFonts w:ascii="Calibri" w:eastAsia="Times New Roman" w:hAnsi="Calibri" w:cs="Calibri"/>
          <w:lang w:val="sr-Latn-ME"/>
        </w:rPr>
      </w:pPr>
      <w:r w:rsidRPr="00294CD4">
        <w:rPr>
          <w:rFonts w:ascii="Calibri" w:eastAsia="Times New Roman" w:hAnsi="Calibri" w:cs="Calibri"/>
          <w:lang w:val="sr-Latn-ME"/>
        </w:rPr>
        <w:t>Postojanje odgovarajućeg i efektivnog ustavnog/statutornog/zakonodavnog okvira kao i de facto primjena odredbi ovog okvira;</w:t>
      </w:r>
    </w:p>
    <w:p w14:paraId="35359504" w14:textId="701ECB47" w:rsidR="00F20F73" w:rsidRPr="00294CD4" w:rsidRDefault="005733AE" w:rsidP="005733AE">
      <w:pPr>
        <w:numPr>
          <w:ilvl w:val="0"/>
          <w:numId w:val="12"/>
        </w:numPr>
        <w:shd w:val="clear" w:color="auto" w:fill="FFFFFF"/>
        <w:tabs>
          <w:tab w:val="clear" w:pos="850"/>
          <w:tab w:val="clear" w:pos="1191"/>
          <w:tab w:val="clear" w:pos="1531"/>
        </w:tabs>
        <w:spacing w:before="100" w:beforeAutospacing="1" w:after="100" w:afterAutospacing="1"/>
        <w:rPr>
          <w:rFonts w:ascii="Calibri" w:eastAsia="Times New Roman" w:hAnsi="Calibri" w:cs="Calibri"/>
          <w:b/>
          <w:bCs/>
          <w:lang w:val="sr-Latn-ME"/>
        </w:rPr>
      </w:pPr>
      <w:r w:rsidRPr="00294CD4">
        <w:rPr>
          <w:rFonts w:ascii="Calibri" w:eastAsia="Times New Roman" w:hAnsi="Calibri" w:cs="Calibri"/>
          <w:b/>
          <w:bCs/>
          <w:lang w:val="sr-Latn-ME"/>
        </w:rPr>
        <w:lastRenderedPageBreak/>
        <w:t>Nezavisnost rukovodilaca i članova VRI (kolegijalnih institucija), uključujući i sigurnost mandata i zakonskog imuniteta prilikom obavljanja njihovih dužnosti</w:t>
      </w:r>
      <w:r w:rsidR="00341305">
        <w:rPr>
          <w:rFonts w:ascii="Calibri" w:eastAsia="Times New Roman" w:hAnsi="Calibri" w:cs="Calibri"/>
          <w:b/>
          <w:bCs/>
          <w:lang w:val="sr-Latn-ME"/>
        </w:rPr>
        <w:t>;</w:t>
      </w:r>
    </w:p>
    <w:p w14:paraId="63A282D5" w14:textId="51C97C83" w:rsidR="00F20F73" w:rsidRPr="00294CD4" w:rsidRDefault="005733AE" w:rsidP="005733AE">
      <w:pPr>
        <w:numPr>
          <w:ilvl w:val="0"/>
          <w:numId w:val="12"/>
        </w:numPr>
        <w:shd w:val="clear" w:color="auto" w:fill="FFFFFF"/>
        <w:tabs>
          <w:tab w:val="clear" w:pos="850"/>
          <w:tab w:val="clear" w:pos="1191"/>
          <w:tab w:val="clear" w:pos="1531"/>
        </w:tabs>
        <w:spacing w:before="100" w:beforeAutospacing="1" w:after="100" w:afterAutospacing="1"/>
        <w:rPr>
          <w:rFonts w:ascii="Calibri" w:eastAsia="Times New Roman" w:hAnsi="Calibri" w:cs="Calibri"/>
          <w:lang w:val="sr-Latn-ME"/>
        </w:rPr>
      </w:pPr>
      <w:r w:rsidRPr="00294CD4">
        <w:rPr>
          <w:rFonts w:ascii="Calibri" w:eastAsia="Times New Roman" w:hAnsi="Calibri" w:cs="Calibri"/>
          <w:lang w:val="sr-Latn-ME"/>
        </w:rPr>
        <w:t>Dovoljno širok mandat i puno diskreciono pravo prilikom obavljanja funkcija VRI</w:t>
      </w:r>
      <w:r w:rsidR="00341305">
        <w:rPr>
          <w:rFonts w:ascii="Calibri" w:eastAsia="Times New Roman" w:hAnsi="Calibri" w:cs="Calibri"/>
          <w:lang w:val="sr-Latn-ME"/>
        </w:rPr>
        <w:t>;</w:t>
      </w:r>
    </w:p>
    <w:p w14:paraId="6C82110C" w14:textId="405683A2" w:rsidR="00F20F73" w:rsidRPr="00294CD4" w:rsidRDefault="005733AE" w:rsidP="005733AE">
      <w:pPr>
        <w:numPr>
          <w:ilvl w:val="0"/>
          <w:numId w:val="12"/>
        </w:numPr>
        <w:shd w:val="clear" w:color="auto" w:fill="FFFFFF"/>
        <w:tabs>
          <w:tab w:val="clear" w:pos="850"/>
          <w:tab w:val="clear" w:pos="1191"/>
          <w:tab w:val="clear" w:pos="1531"/>
        </w:tabs>
        <w:spacing w:before="100" w:beforeAutospacing="1" w:after="100" w:afterAutospacing="1"/>
        <w:rPr>
          <w:rFonts w:ascii="Calibri" w:eastAsia="Times New Roman" w:hAnsi="Calibri" w:cs="Calibri"/>
          <w:lang w:val="sr-Latn-ME"/>
        </w:rPr>
      </w:pPr>
      <w:r w:rsidRPr="00294CD4">
        <w:rPr>
          <w:rFonts w:ascii="Calibri" w:eastAsia="Times New Roman" w:hAnsi="Calibri" w:cs="Calibri"/>
          <w:lang w:val="sr-Latn-ME"/>
        </w:rPr>
        <w:t>Neograničen pristup informacijama</w:t>
      </w:r>
      <w:r w:rsidR="00341305">
        <w:rPr>
          <w:rFonts w:ascii="Calibri" w:eastAsia="Times New Roman" w:hAnsi="Calibri" w:cs="Calibri"/>
          <w:lang w:val="sr-Latn-ME"/>
        </w:rPr>
        <w:t>;</w:t>
      </w:r>
    </w:p>
    <w:p w14:paraId="0990B9D3" w14:textId="537A3FFA" w:rsidR="00F20F73" w:rsidRPr="00294CD4" w:rsidRDefault="005733AE" w:rsidP="005733AE">
      <w:pPr>
        <w:numPr>
          <w:ilvl w:val="0"/>
          <w:numId w:val="12"/>
        </w:numPr>
        <w:shd w:val="clear" w:color="auto" w:fill="FFFFFF"/>
        <w:tabs>
          <w:tab w:val="clear" w:pos="850"/>
          <w:tab w:val="clear" w:pos="1191"/>
          <w:tab w:val="clear" w:pos="1531"/>
        </w:tabs>
        <w:spacing w:before="100" w:beforeAutospacing="1" w:after="100" w:afterAutospacing="1"/>
        <w:rPr>
          <w:rFonts w:ascii="Calibri" w:eastAsia="Times New Roman" w:hAnsi="Calibri" w:cs="Calibri"/>
          <w:lang w:val="sr-Latn-ME"/>
        </w:rPr>
      </w:pPr>
      <w:r w:rsidRPr="00294CD4">
        <w:rPr>
          <w:rFonts w:ascii="Calibri" w:eastAsia="Times New Roman" w:hAnsi="Calibri" w:cs="Calibri"/>
          <w:lang w:val="sr-Latn-ME"/>
        </w:rPr>
        <w:t>Sloboda odlučivanja o sadržaju i vremenu revizorskih izvještaja kao i o njihovom objavljivanju i distribuiranju</w:t>
      </w:r>
      <w:r w:rsidR="00341305">
        <w:rPr>
          <w:rFonts w:ascii="Calibri" w:eastAsia="Times New Roman" w:hAnsi="Calibri" w:cs="Calibri"/>
          <w:lang w:val="sr-Latn-ME"/>
        </w:rPr>
        <w:t>;</w:t>
      </w:r>
    </w:p>
    <w:p w14:paraId="29A020E3" w14:textId="319A8901" w:rsidR="005733AE" w:rsidRPr="00294CD4" w:rsidRDefault="005733AE" w:rsidP="005733AE">
      <w:pPr>
        <w:numPr>
          <w:ilvl w:val="0"/>
          <w:numId w:val="12"/>
        </w:numPr>
        <w:shd w:val="clear" w:color="auto" w:fill="FFFFFF"/>
        <w:tabs>
          <w:tab w:val="clear" w:pos="850"/>
          <w:tab w:val="clear" w:pos="1191"/>
          <w:tab w:val="clear" w:pos="1531"/>
        </w:tabs>
        <w:spacing w:before="100" w:beforeAutospacing="1" w:after="100" w:afterAutospacing="1"/>
        <w:rPr>
          <w:rFonts w:ascii="Calibri" w:eastAsia="Times New Roman" w:hAnsi="Calibri" w:cs="Calibri"/>
          <w:lang w:val="sr-Latn-ME"/>
        </w:rPr>
      </w:pPr>
      <w:r w:rsidRPr="00294CD4">
        <w:rPr>
          <w:rFonts w:ascii="Calibri" w:eastAsia="Times New Roman" w:hAnsi="Calibri" w:cs="Calibri"/>
          <w:lang w:val="sr-Latn-ME"/>
        </w:rPr>
        <w:t>Postojanje efektivnih mehanizama za praćenje realizacije preporuka VRI</w:t>
      </w:r>
      <w:r w:rsidR="00341305">
        <w:rPr>
          <w:rFonts w:ascii="Calibri" w:eastAsia="Times New Roman" w:hAnsi="Calibri" w:cs="Calibri"/>
          <w:lang w:val="sr-Latn-ME"/>
        </w:rPr>
        <w:t>;</w:t>
      </w:r>
    </w:p>
    <w:p w14:paraId="70AD6D3C" w14:textId="38D86ECE" w:rsidR="00F20F73" w:rsidRPr="00294CD4" w:rsidRDefault="005733AE" w:rsidP="005733AE">
      <w:pPr>
        <w:numPr>
          <w:ilvl w:val="0"/>
          <w:numId w:val="12"/>
        </w:numPr>
        <w:shd w:val="clear" w:color="auto" w:fill="FFFFFF"/>
        <w:tabs>
          <w:tab w:val="clear" w:pos="850"/>
          <w:tab w:val="clear" w:pos="1191"/>
          <w:tab w:val="clear" w:pos="1531"/>
        </w:tabs>
        <w:spacing w:before="100" w:beforeAutospacing="1" w:after="100" w:afterAutospacing="1"/>
        <w:rPr>
          <w:rFonts w:ascii="Calibri" w:eastAsia="Times New Roman" w:hAnsi="Calibri" w:cs="Calibri"/>
          <w:lang w:val="sr-Latn-ME"/>
        </w:rPr>
      </w:pPr>
      <w:r w:rsidRPr="00294CD4">
        <w:rPr>
          <w:rFonts w:ascii="Calibri" w:eastAsia="Times New Roman" w:hAnsi="Calibri" w:cs="Calibri"/>
          <w:lang w:val="sr-Latn-ME"/>
        </w:rPr>
        <w:t>Finansijska i upravljačka/administrativna autonomija i raspoloživost odgovarajućih ljudskih, materijalnih i novčanih resursa</w:t>
      </w:r>
      <w:r w:rsidR="00F20F73" w:rsidRPr="00294CD4">
        <w:rPr>
          <w:rFonts w:ascii="Calibri" w:eastAsia="Times New Roman" w:hAnsi="Calibri" w:cs="Calibri"/>
          <w:lang w:val="sr-Latn-ME"/>
        </w:rPr>
        <w:t>.</w:t>
      </w:r>
    </w:p>
    <w:p w14:paraId="3D28FC75" w14:textId="62A958C0" w:rsidR="004D47C6" w:rsidRPr="00294CD4" w:rsidRDefault="005733AE" w:rsidP="00F20F73">
      <w:pPr>
        <w:shd w:val="clear" w:color="auto" w:fill="FFFFFF"/>
        <w:tabs>
          <w:tab w:val="clear" w:pos="850"/>
          <w:tab w:val="clear" w:pos="1191"/>
          <w:tab w:val="clear" w:pos="1531"/>
        </w:tabs>
        <w:spacing w:before="100" w:beforeAutospacing="1" w:after="100" w:afterAutospacing="1"/>
        <w:rPr>
          <w:rFonts w:ascii="Calibri" w:eastAsia="Times New Roman" w:hAnsi="Calibri" w:cs="Calibri"/>
          <w:lang w:val="sr-Latn-ME"/>
        </w:rPr>
      </w:pPr>
      <w:r w:rsidRPr="00294CD4">
        <w:rPr>
          <w:rFonts w:ascii="Calibri" w:eastAsia="Times New Roman" w:hAnsi="Calibri" w:cs="Calibri"/>
          <w:lang w:val="sr-Latn-ME"/>
        </w:rPr>
        <w:t xml:space="preserve">Predviđene izmjene i dopune </w:t>
      </w:r>
      <w:r w:rsidR="00341305">
        <w:rPr>
          <w:rFonts w:ascii="Calibri" w:eastAsia="Times New Roman" w:hAnsi="Calibri" w:cs="Calibri"/>
          <w:lang w:val="sr-Latn-ME"/>
        </w:rPr>
        <w:t>Z</w:t>
      </w:r>
      <w:r w:rsidRPr="00294CD4">
        <w:rPr>
          <w:rFonts w:ascii="Calibri" w:eastAsia="Times New Roman" w:hAnsi="Calibri" w:cs="Calibri"/>
          <w:lang w:val="sr-Latn-ME"/>
        </w:rPr>
        <w:t>akona o DRI Crne Gore mogle bi uticati na nezavisnost rukovodioca i članova DRI shodno principu 2 Meksičke deklaracije. U nastavku ćemo stoga detaljnije razmotriti ovaj aspekt.</w:t>
      </w:r>
    </w:p>
    <w:p w14:paraId="0945197B" w14:textId="17D3CDCF" w:rsidR="00F20F73" w:rsidRPr="00294CD4" w:rsidRDefault="005733AE" w:rsidP="00F20F73">
      <w:pPr>
        <w:pStyle w:val="ListParagraph"/>
        <w:numPr>
          <w:ilvl w:val="0"/>
          <w:numId w:val="14"/>
        </w:numPr>
        <w:tabs>
          <w:tab w:val="clear" w:pos="850"/>
          <w:tab w:val="clear" w:pos="1191"/>
          <w:tab w:val="clear" w:pos="1531"/>
        </w:tabs>
        <w:spacing w:after="100" w:afterAutospacing="1"/>
        <w:outlineLvl w:val="2"/>
        <w:rPr>
          <w:rFonts w:ascii="Calibri" w:eastAsia="Times New Roman" w:hAnsi="Calibri" w:cs="Calibri"/>
          <w:b/>
          <w:bCs/>
          <w:lang w:val="sr-Latn-ME"/>
        </w:rPr>
      </w:pPr>
      <w:r w:rsidRPr="00294CD4">
        <w:rPr>
          <w:rFonts w:ascii="Calibri" w:eastAsia="Times New Roman" w:hAnsi="Calibri" w:cs="Calibri"/>
          <w:b/>
          <w:bCs/>
          <w:lang w:val="sr-Latn-ME"/>
        </w:rPr>
        <w:t xml:space="preserve">Nezavisnost rukovodioca VRI i članova VRI </w:t>
      </w:r>
    </w:p>
    <w:p w14:paraId="15647E35" w14:textId="52EF8DDF" w:rsidR="005733AE" w:rsidRPr="00294CD4" w:rsidRDefault="005733AE" w:rsidP="00F20F73">
      <w:pPr>
        <w:tabs>
          <w:tab w:val="clear" w:pos="850"/>
          <w:tab w:val="clear" w:pos="1191"/>
          <w:tab w:val="clear" w:pos="1531"/>
        </w:tabs>
        <w:spacing w:after="100" w:afterAutospacing="1"/>
        <w:outlineLvl w:val="2"/>
        <w:rPr>
          <w:rFonts w:ascii="Calibri" w:eastAsia="Times New Roman" w:hAnsi="Calibri" w:cs="Calibri"/>
          <w:lang w:val="sr-Latn-ME"/>
        </w:rPr>
      </w:pPr>
      <w:r w:rsidRPr="00294CD4">
        <w:rPr>
          <w:rFonts w:ascii="Calibri" w:eastAsia="Times New Roman" w:hAnsi="Calibri" w:cs="Calibri"/>
          <w:lang w:val="sr-Latn-ME"/>
        </w:rPr>
        <w:t xml:space="preserve">Nezavisnost rukovodilaca DRI i njihovih članova (kolegijalnih institucija) uključuje sigurnost mandata i pravni imunitet u obavljanju njihovih dužnosti. Princip 2 Meksičke deklaracije priznaje da ljudi izabrani da vode VRI, a koji su </w:t>
      </w:r>
      <w:r w:rsidR="00341305">
        <w:rPr>
          <w:rFonts w:ascii="Calibri" w:eastAsia="Times New Roman" w:hAnsi="Calibri" w:cs="Calibri"/>
          <w:lang w:val="sr-Latn-ME"/>
        </w:rPr>
        <w:t>prepoznati</w:t>
      </w:r>
      <w:r w:rsidRPr="00294CD4">
        <w:rPr>
          <w:rFonts w:ascii="Calibri" w:eastAsia="Times New Roman" w:hAnsi="Calibri" w:cs="Calibri"/>
          <w:lang w:val="sr-Latn-ME"/>
        </w:rPr>
        <w:t xml:space="preserve"> pravnim okvirom uspostavljenim principom 1, moraju imati slobodu da obavljaju tu ulogu bez straha od </w:t>
      </w:r>
      <w:r w:rsidR="003946D1" w:rsidRPr="00294CD4">
        <w:rPr>
          <w:rFonts w:ascii="Calibri" w:eastAsia="Times New Roman" w:hAnsi="Calibri" w:cs="Calibri"/>
          <w:lang w:val="sr-Latn-ME"/>
        </w:rPr>
        <w:t>odmazde</w:t>
      </w:r>
      <w:r w:rsidRPr="00294CD4">
        <w:rPr>
          <w:rFonts w:ascii="Calibri" w:eastAsia="Times New Roman" w:hAnsi="Calibri" w:cs="Calibri"/>
          <w:lang w:val="sr-Latn-ME"/>
        </w:rPr>
        <w:t xml:space="preserve"> ili rizika da budu izloženi </w:t>
      </w:r>
      <w:r w:rsidR="003946D1" w:rsidRPr="00294CD4">
        <w:rPr>
          <w:rFonts w:ascii="Calibri" w:eastAsia="Times New Roman" w:hAnsi="Calibri" w:cs="Calibri"/>
          <w:lang w:val="sr-Latn-ME"/>
        </w:rPr>
        <w:t>pravnim radnjama</w:t>
      </w:r>
      <w:r w:rsidRPr="00294CD4">
        <w:rPr>
          <w:rFonts w:ascii="Calibri" w:eastAsia="Times New Roman" w:hAnsi="Calibri" w:cs="Calibri"/>
          <w:lang w:val="sr-Latn-ME"/>
        </w:rPr>
        <w:t xml:space="preserve"> (bilo krivičn</w:t>
      </w:r>
      <w:r w:rsidR="003946D1" w:rsidRPr="00294CD4">
        <w:rPr>
          <w:rFonts w:ascii="Calibri" w:eastAsia="Times New Roman" w:hAnsi="Calibri" w:cs="Calibri"/>
          <w:lang w:val="sr-Latn-ME"/>
        </w:rPr>
        <w:t>o gonjenje</w:t>
      </w:r>
      <w:r w:rsidRPr="00294CD4">
        <w:rPr>
          <w:rFonts w:ascii="Calibri" w:eastAsia="Times New Roman" w:hAnsi="Calibri" w:cs="Calibri"/>
          <w:lang w:val="sr-Latn-ME"/>
        </w:rPr>
        <w:t>, ili u nekom drugom obliku) onih koji nisu zadovoljni revizijama ili izv</w:t>
      </w:r>
      <w:r w:rsidR="003946D1" w:rsidRPr="00294CD4">
        <w:rPr>
          <w:rFonts w:ascii="Calibri" w:eastAsia="Times New Roman" w:hAnsi="Calibri" w:cs="Calibri"/>
          <w:lang w:val="sr-Latn-ME"/>
        </w:rPr>
        <w:t>j</w:t>
      </w:r>
      <w:r w:rsidRPr="00294CD4">
        <w:rPr>
          <w:rFonts w:ascii="Calibri" w:eastAsia="Times New Roman" w:hAnsi="Calibri" w:cs="Calibri"/>
          <w:lang w:val="sr-Latn-ME"/>
        </w:rPr>
        <w:t>eštajima VRI.</w:t>
      </w:r>
    </w:p>
    <w:p w14:paraId="03F92A88" w14:textId="7085E2B7" w:rsidR="00F20F73" w:rsidRPr="00294CD4" w:rsidRDefault="003946D1" w:rsidP="00F20F73">
      <w:pPr>
        <w:tabs>
          <w:tab w:val="clear" w:pos="850"/>
          <w:tab w:val="clear" w:pos="1191"/>
          <w:tab w:val="clear" w:pos="1531"/>
        </w:tabs>
        <w:spacing w:after="100" w:afterAutospacing="1"/>
        <w:rPr>
          <w:rFonts w:ascii="Calibri" w:eastAsia="Times New Roman" w:hAnsi="Calibri" w:cs="Calibri"/>
          <w:lang w:val="sr-Latn-ME"/>
        </w:rPr>
      </w:pPr>
      <w:r w:rsidRPr="00294CD4">
        <w:rPr>
          <w:rFonts w:ascii="Calibri" w:eastAsia="Times New Roman" w:hAnsi="Calibri" w:cs="Calibri"/>
          <w:lang w:val="sr-Latn-ME"/>
        </w:rPr>
        <w:t>Prema Meksičkoj deklaraciji</w:t>
      </w:r>
      <w:r w:rsidR="00F20F73" w:rsidRPr="00294CD4">
        <w:rPr>
          <w:rFonts w:ascii="Calibri" w:eastAsia="Times New Roman" w:hAnsi="Calibri" w:cs="Calibri"/>
          <w:lang w:val="sr-Latn-ME"/>
        </w:rPr>
        <w:t xml:space="preserve">, Princip 2 </w:t>
      </w:r>
      <w:r w:rsidRPr="00294CD4">
        <w:rPr>
          <w:rFonts w:ascii="Calibri" w:eastAsia="Times New Roman" w:hAnsi="Calibri" w:cs="Calibri"/>
          <w:lang w:val="sr-Latn-ME"/>
        </w:rPr>
        <w:t>sadrži četiri ključna elementa</w:t>
      </w:r>
      <w:r w:rsidR="00F20F73" w:rsidRPr="00294CD4">
        <w:rPr>
          <w:rStyle w:val="FootnoteReference"/>
          <w:rFonts w:ascii="Calibri" w:eastAsia="Times New Roman" w:hAnsi="Calibri" w:cs="Calibri"/>
          <w:lang w:val="sr-Latn-ME"/>
        </w:rPr>
        <w:footnoteReference w:id="8"/>
      </w:r>
      <w:r w:rsidR="00F20F73" w:rsidRPr="00294CD4">
        <w:rPr>
          <w:rFonts w:ascii="Calibri" w:eastAsia="Times New Roman" w:hAnsi="Calibri" w:cs="Calibri"/>
          <w:lang w:val="sr-Latn-ME"/>
        </w:rPr>
        <w:t>. T</w:t>
      </w:r>
      <w:r w:rsidRPr="00294CD4">
        <w:rPr>
          <w:rFonts w:ascii="Calibri" w:eastAsia="Times New Roman" w:hAnsi="Calibri" w:cs="Calibri"/>
          <w:lang w:val="sr-Latn-ME"/>
        </w:rPr>
        <w:t>o su</w:t>
      </w:r>
      <w:r w:rsidR="00F20F73" w:rsidRPr="00294CD4">
        <w:rPr>
          <w:rFonts w:ascii="Calibri" w:eastAsia="Times New Roman" w:hAnsi="Calibri" w:cs="Calibri"/>
          <w:lang w:val="sr-Latn-ME"/>
        </w:rPr>
        <w:t>:</w:t>
      </w:r>
    </w:p>
    <w:p w14:paraId="41EA8CBB" w14:textId="177023AD" w:rsidR="00FA23E9" w:rsidRDefault="003946D1" w:rsidP="00FA23E9">
      <w:pPr>
        <w:pStyle w:val="ListParagraph"/>
        <w:numPr>
          <w:ilvl w:val="0"/>
          <w:numId w:val="18"/>
        </w:numPr>
        <w:tabs>
          <w:tab w:val="clear" w:pos="850"/>
          <w:tab w:val="clear" w:pos="1191"/>
          <w:tab w:val="clear" w:pos="1531"/>
        </w:tabs>
        <w:spacing w:before="100" w:beforeAutospacing="1" w:after="100" w:afterAutospacing="1"/>
        <w:rPr>
          <w:rFonts w:ascii="Calibri" w:eastAsia="Times New Roman" w:hAnsi="Calibri" w:cs="Calibri"/>
          <w:lang w:val="sr-Latn-ME"/>
        </w:rPr>
      </w:pPr>
      <w:r w:rsidRPr="00FA23E9">
        <w:rPr>
          <w:rFonts w:ascii="Calibri" w:eastAsia="Times New Roman" w:hAnsi="Calibri" w:cs="Calibri"/>
          <w:b/>
          <w:bCs/>
          <w:lang w:val="sr-Latn-ME"/>
        </w:rPr>
        <w:t>Proces imenovanja</w:t>
      </w:r>
      <w:r w:rsidR="00F20F73" w:rsidRPr="00FA23E9">
        <w:rPr>
          <w:rFonts w:ascii="Calibri" w:eastAsia="Times New Roman" w:hAnsi="Calibri" w:cs="Calibri"/>
          <w:b/>
          <w:bCs/>
          <w:lang w:val="sr-Latn-ME"/>
        </w:rPr>
        <w:t>:</w:t>
      </w:r>
      <w:r w:rsidR="00F20F73" w:rsidRPr="00FA23E9">
        <w:rPr>
          <w:rFonts w:ascii="Calibri" w:eastAsia="Times New Roman" w:hAnsi="Calibri" w:cs="Calibri"/>
          <w:lang w:val="sr-Latn-ME"/>
        </w:rPr>
        <w:t xml:space="preserve"> </w:t>
      </w:r>
      <w:r w:rsidRPr="00FA23E9">
        <w:rPr>
          <w:rFonts w:ascii="Calibri" w:eastAsia="Times New Roman" w:hAnsi="Calibri" w:cs="Calibri"/>
          <w:lang w:val="sr-Latn-ME"/>
        </w:rPr>
        <w:t>Ovo bi trebalo da bude jasno navedeno u zakonskom okviru i trebalo bi da bude transparentno i bez političkog uticaja. To bi trebalo da rezultira imenovanjem šefa VRI (i, gdje je primjenljivo, nosilaca viših funkcija u VRI) na osnovu zasluga.</w:t>
      </w:r>
    </w:p>
    <w:p w14:paraId="44156ABB" w14:textId="77777777" w:rsidR="00FA23E9" w:rsidRDefault="00FA23E9" w:rsidP="00FA23E9">
      <w:pPr>
        <w:pStyle w:val="ListParagraph"/>
        <w:tabs>
          <w:tab w:val="clear" w:pos="850"/>
          <w:tab w:val="clear" w:pos="1191"/>
          <w:tab w:val="clear" w:pos="1531"/>
        </w:tabs>
        <w:spacing w:before="100" w:beforeAutospacing="1" w:after="100" w:afterAutospacing="1"/>
        <w:rPr>
          <w:rFonts w:ascii="Calibri" w:eastAsia="Times New Roman" w:hAnsi="Calibri" w:cs="Calibri"/>
          <w:lang w:val="sr-Latn-ME"/>
        </w:rPr>
      </w:pPr>
    </w:p>
    <w:p w14:paraId="21D6F87E" w14:textId="77777777" w:rsidR="00FA23E9" w:rsidRDefault="003946D1" w:rsidP="00FA23E9">
      <w:pPr>
        <w:pStyle w:val="ListParagraph"/>
        <w:numPr>
          <w:ilvl w:val="0"/>
          <w:numId w:val="18"/>
        </w:numPr>
        <w:tabs>
          <w:tab w:val="clear" w:pos="850"/>
          <w:tab w:val="clear" w:pos="1191"/>
          <w:tab w:val="clear" w:pos="1531"/>
        </w:tabs>
        <w:spacing w:before="100" w:beforeAutospacing="1" w:after="100" w:afterAutospacing="1"/>
        <w:rPr>
          <w:rFonts w:ascii="Calibri" w:eastAsia="Times New Roman" w:hAnsi="Calibri" w:cs="Calibri"/>
          <w:lang w:val="sr-Latn-ME"/>
        </w:rPr>
      </w:pPr>
      <w:r w:rsidRPr="00FA23E9">
        <w:rPr>
          <w:rFonts w:ascii="Calibri" w:eastAsia="Times New Roman" w:hAnsi="Calibri" w:cs="Calibri"/>
          <w:b/>
          <w:bCs/>
          <w:lang w:val="sr-Latn-ME"/>
        </w:rPr>
        <w:t>Dužina trajanja mandata</w:t>
      </w:r>
      <w:r w:rsidR="00F20F73" w:rsidRPr="00FA23E9">
        <w:rPr>
          <w:rFonts w:ascii="Calibri" w:eastAsia="Times New Roman" w:hAnsi="Calibri" w:cs="Calibri"/>
          <w:b/>
          <w:bCs/>
          <w:lang w:val="sr-Latn-ME"/>
        </w:rPr>
        <w:t>:</w:t>
      </w:r>
      <w:r w:rsidRPr="00FA23E9">
        <w:rPr>
          <w:lang w:val="sr-Latn-ME"/>
        </w:rPr>
        <w:t xml:space="preserve"> </w:t>
      </w:r>
      <w:r w:rsidRPr="00FA23E9">
        <w:rPr>
          <w:rFonts w:ascii="Calibri" w:eastAsia="Times New Roman" w:hAnsi="Calibri" w:cs="Calibri"/>
          <w:lang w:val="sr-Latn-ME"/>
        </w:rPr>
        <w:t>Princip 2 navodi da šefovi VRI (i oni koji su imenovani na više pozicije VRI) treba da dobiju dovoljno dug mandat kako bi se napravila razlika</w:t>
      </w:r>
      <w:r w:rsidR="00341305" w:rsidRPr="00FA23E9">
        <w:rPr>
          <w:rFonts w:ascii="Calibri" w:eastAsia="Times New Roman" w:hAnsi="Calibri" w:cs="Calibri"/>
          <w:lang w:val="sr-Latn-ME"/>
        </w:rPr>
        <w:t>;</w:t>
      </w:r>
    </w:p>
    <w:p w14:paraId="7ADF02E1" w14:textId="77777777" w:rsidR="00FA23E9" w:rsidRPr="00FA23E9" w:rsidRDefault="00FA23E9" w:rsidP="00FA23E9">
      <w:pPr>
        <w:pStyle w:val="ListParagraph"/>
        <w:rPr>
          <w:rFonts w:ascii="Calibri" w:eastAsia="Times New Roman" w:hAnsi="Calibri" w:cs="Calibri"/>
          <w:b/>
          <w:bCs/>
          <w:lang w:val="sr-Latn-ME"/>
        </w:rPr>
      </w:pPr>
    </w:p>
    <w:p w14:paraId="0CD1BD6F" w14:textId="77777777" w:rsidR="00FA23E9" w:rsidRDefault="003946D1" w:rsidP="00FA23E9">
      <w:pPr>
        <w:pStyle w:val="ListParagraph"/>
        <w:numPr>
          <w:ilvl w:val="0"/>
          <w:numId w:val="18"/>
        </w:numPr>
        <w:tabs>
          <w:tab w:val="clear" w:pos="850"/>
          <w:tab w:val="clear" w:pos="1191"/>
          <w:tab w:val="clear" w:pos="1531"/>
        </w:tabs>
        <w:spacing w:before="100" w:beforeAutospacing="1" w:after="100" w:afterAutospacing="1"/>
        <w:rPr>
          <w:rFonts w:ascii="Calibri" w:eastAsia="Times New Roman" w:hAnsi="Calibri" w:cs="Calibri"/>
          <w:lang w:val="sr-Latn-ME"/>
        </w:rPr>
      </w:pPr>
      <w:r w:rsidRPr="00FA23E9">
        <w:rPr>
          <w:rFonts w:ascii="Calibri" w:eastAsia="Times New Roman" w:hAnsi="Calibri" w:cs="Calibri"/>
          <w:b/>
          <w:bCs/>
          <w:lang w:val="sr-Latn-ME"/>
        </w:rPr>
        <w:t>Zaštita od razrješenja</w:t>
      </w:r>
      <w:r w:rsidR="00F20F73" w:rsidRPr="00FA23E9">
        <w:rPr>
          <w:rFonts w:ascii="Calibri" w:eastAsia="Times New Roman" w:hAnsi="Calibri" w:cs="Calibri"/>
          <w:b/>
          <w:bCs/>
          <w:lang w:val="sr-Latn-ME"/>
        </w:rPr>
        <w:t>:</w:t>
      </w:r>
      <w:r w:rsidR="00F20F73" w:rsidRPr="00FA23E9">
        <w:rPr>
          <w:rFonts w:ascii="Calibri" w:eastAsia="Times New Roman" w:hAnsi="Calibri" w:cs="Calibri"/>
          <w:lang w:val="sr-Latn-ME"/>
        </w:rPr>
        <w:t xml:space="preserve">  </w:t>
      </w:r>
      <w:r w:rsidRPr="00FA23E9">
        <w:rPr>
          <w:rFonts w:ascii="Calibri" w:eastAsia="Times New Roman" w:hAnsi="Calibri" w:cs="Calibri"/>
          <w:lang w:val="sr-Latn-ME"/>
        </w:rPr>
        <w:t xml:space="preserve">Pravni okvir treba da jasno naznači osnov po kome šef DRI može biti </w:t>
      </w:r>
      <w:r w:rsidR="00341305" w:rsidRPr="00FA23E9">
        <w:rPr>
          <w:rFonts w:ascii="Calibri" w:eastAsia="Times New Roman" w:hAnsi="Calibri" w:cs="Calibri"/>
          <w:lang w:val="sr-Latn-ME"/>
        </w:rPr>
        <w:t>smijenjen</w:t>
      </w:r>
      <w:r w:rsidRPr="00FA23E9">
        <w:rPr>
          <w:rFonts w:ascii="Calibri" w:eastAsia="Times New Roman" w:hAnsi="Calibri" w:cs="Calibri"/>
          <w:lang w:val="sr-Latn-ME"/>
        </w:rPr>
        <w:t xml:space="preserve"> ili razriješen dužnosti.</w:t>
      </w:r>
    </w:p>
    <w:p w14:paraId="0EDE141D" w14:textId="77777777" w:rsidR="00FA23E9" w:rsidRPr="00FA23E9" w:rsidRDefault="00FA23E9" w:rsidP="00FA23E9">
      <w:pPr>
        <w:pStyle w:val="ListParagraph"/>
        <w:rPr>
          <w:rFonts w:ascii="Calibri" w:eastAsia="Times New Roman" w:hAnsi="Calibri" w:cs="Calibri"/>
          <w:b/>
          <w:bCs/>
          <w:lang w:val="sr-Latn-ME"/>
        </w:rPr>
      </w:pPr>
    </w:p>
    <w:p w14:paraId="53A8DD70" w14:textId="6FD656ED" w:rsidR="00F20F73" w:rsidRPr="00FA23E9" w:rsidRDefault="003946D1" w:rsidP="00FA23E9">
      <w:pPr>
        <w:pStyle w:val="ListParagraph"/>
        <w:numPr>
          <w:ilvl w:val="0"/>
          <w:numId w:val="18"/>
        </w:numPr>
        <w:tabs>
          <w:tab w:val="clear" w:pos="850"/>
          <w:tab w:val="clear" w:pos="1191"/>
          <w:tab w:val="clear" w:pos="1531"/>
        </w:tabs>
        <w:spacing w:before="100" w:beforeAutospacing="1" w:after="100" w:afterAutospacing="1"/>
        <w:rPr>
          <w:rFonts w:ascii="Calibri" w:eastAsia="Times New Roman" w:hAnsi="Calibri" w:cs="Calibri"/>
          <w:lang w:val="sr-Latn-ME"/>
        </w:rPr>
      </w:pPr>
      <w:r w:rsidRPr="00FA23E9">
        <w:rPr>
          <w:rFonts w:ascii="Calibri" w:eastAsia="Times New Roman" w:hAnsi="Calibri" w:cs="Calibri"/>
          <w:b/>
          <w:bCs/>
          <w:lang w:val="sr-Latn-ME"/>
        </w:rPr>
        <w:t>Pravni imunitet</w:t>
      </w:r>
      <w:r w:rsidR="00F20F73" w:rsidRPr="00FA23E9">
        <w:rPr>
          <w:rFonts w:ascii="Calibri" w:eastAsia="Times New Roman" w:hAnsi="Calibri" w:cs="Calibri"/>
          <w:b/>
          <w:bCs/>
          <w:lang w:val="sr-Latn-ME"/>
        </w:rPr>
        <w:t>:</w:t>
      </w:r>
      <w:r w:rsidR="00F20F73" w:rsidRPr="00FA23E9">
        <w:rPr>
          <w:rFonts w:ascii="Calibri" w:eastAsia="Times New Roman" w:hAnsi="Calibri" w:cs="Calibri"/>
          <w:lang w:val="sr-Latn-ME"/>
        </w:rPr>
        <w:t> </w:t>
      </w:r>
      <w:r w:rsidRPr="00FA23E9">
        <w:rPr>
          <w:lang w:val="sr-Latn-ME"/>
        </w:rPr>
        <w:t xml:space="preserve"> </w:t>
      </w:r>
      <w:r w:rsidRPr="00FA23E9">
        <w:rPr>
          <w:rFonts w:ascii="Calibri" w:eastAsia="Times New Roman" w:hAnsi="Calibri" w:cs="Calibri"/>
          <w:lang w:val="sr-Latn-ME"/>
        </w:rPr>
        <w:t>Rukovodilac VRI, i tamo gdje je primjenljivo, i njeni visoki nosioci dužnosti, treba da posjeduju imunitet od krivičnog gonjenja za bilo koje djelo, građansku pritužbu ili drugi oblik kaznene pravne sankcije za bilo koje djelo, prošlo ili sadašnje, koje je nastalo kao rezultat uobičajenog obavljanja njihovih dužnosti. Bez jasno definisanog imuniteta, oni koji žele da „ućutkaju“ VRI ili suzbiju negativne revizorske nalaze mogu da koriste zakonske postupke da spriječe VRI da obavlja svoj posao ili da zabrane ili odlože objavljivanje njenih izvještaja i drugih informacija u javnom domenu.</w:t>
      </w:r>
    </w:p>
    <w:p w14:paraId="1043FC9D" w14:textId="373CA3BB" w:rsidR="00F20F73" w:rsidRPr="00294CD4" w:rsidRDefault="003946D1" w:rsidP="00F20F73">
      <w:pPr>
        <w:tabs>
          <w:tab w:val="clear" w:pos="850"/>
          <w:tab w:val="clear" w:pos="1191"/>
          <w:tab w:val="clear" w:pos="1531"/>
        </w:tabs>
        <w:spacing w:after="100" w:afterAutospacing="1"/>
        <w:rPr>
          <w:rFonts w:ascii="Calibri" w:eastAsia="Times New Roman" w:hAnsi="Calibri" w:cs="Calibri"/>
          <w:lang w:val="sr-Latn-ME"/>
        </w:rPr>
      </w:pPr>
      <w:r w:rsidRPr="00294CD4">
        <w:rPr>
          <w:rFonts w:ascii="Calibri" w:eastAsia="Times New Roman" w:hAnsi="Calibri" w:cs="Calibri"/>
          <w:lang w:val="sr-Latn-ME"/>
        </w:rPr>
        <w:t xml:space="preserve">Isti izvor objašnjava da „Pronalaženje pravih mehanizama i ravnoteže za ove odredbe može biti jedan od najtežih aspekata razvoja pravnog okvira VRI. Oni </w:t>
      </w:r>
      <w:r w:rsidR="00341305">
        <w:rPr>
          <w:rFonts w:ascii="Calibri" w:eastAsia="Times New Roman" w:hAnsi="Calibri" w:cs="Calibri"/>
          <w:lang w:val="sr-Latn-ME"/>
        </w:rPr>
        <w:t>mogu zahtjevati pažljivu izradu</w:t>
      </w:r>
      <w:r w:rsidRPr="00294CD4">
        <w:rPr>
          <w:rFonts w:ascii="Calibri" w:eastAsia="Times New Roman" w:hAnsi="Calibri" w:cs="Calibri"/>
          <w:lang w:val="sr-Latn-ME"/>
        </w:rPr>
        <w:t xml:space="preserve"> kako bi se obezbjedila </w:t>
      </w:r>
      <w:r w:rsidRPr="00294CD4">
        <w:rPr>
          <w:rFonts w:ascii="Calibri" w:eastAsia="Times New Roman" w:hAnsi="Calibri" w:cs="Calibri"/>
          <w:lang w:val="sr-Latn-ME"/>
        </w:rPr>
        <w:lastRenderedPageBreak/>
        <w:t>transparentnost i izbegle zakonske praznine koje bi se mogle koristiti protiv VRI ili njenog kadra na način odmazde”.</w:t>
      </w:r>
    </w:p>
    <w:p w14:paraId="399B4AF5" w14:textId="37183E7D" w:rsidR="004D47C6" w:rsidRPr="00294CD4" w:rsidRDefault="003946D1" w:rsidP="00F20F73">
      <w:pPr>
        <w:rPr>
          <w:rFonts w:ascii="Calibri" w:hAnsi="Calibri" w:cs="Calibri"/>
          <w:lang w:val="sr-Latn-ME"/>
        </w:rPr>
      </w:pPr>
      <w:r w:rsidRPr="00294CD4">
        <w:rPr>
          <w:rFonts w:ascii="Calibri" w:hAnsi="Calibri" w:cs="Calibri"/>
          <w:lang w:val="sr-Latn-ME"/>
        </w:rPr>
        <w:t xml:space="preserve">Imenovanje na ključnu poziciju u VRI treba da bude transparentno i otvoreno iu skladu sa najboljom praksom u imenovanju viših rukovodilaca. Šefa </w:t>
      </w:r>
      <w:r w:rsidR="00A34DC5" w:rsidRPr="00294CD4">
        <w:rPr>
          <w:rFonts w:ascii="Calibri" w:hAnsi="Calibri" w:cs="Calibri"/>
          <w:lang w:val="sr-Latn-ME"/>
        </w:rPr>
        <w:t>V</w:t>
      </w:r>
      <w:r w:rsidRPr="00294CD4">
        <w:rPr>
          <w:rFonts w:ascii="Calibri" w:hAnsi="Calibri" w:cs="Calibri"/>
          <w:lang w:val="sr-Latn-ME"/>
        </w:rPr>
        <w:t>RI treba posmatrati kao osobu od integriteta i profesionalne kompetencije bez evidentne političke privrženosti čije imenovanje može zadobiti pov</w:t>
      </w:r>
      <w:r w:rsidR="00A34DC5" w:rsidRPr="00294CD4">
        <w:rPr>
          <w:rFonts w:ascii="Calibri" w:hAnsi="Calibri" w:cs="Calibri"/>
          <w:lang w:val="sr-Latn-ME"/>
        </w:rPr>
        <w:t>j</w:t>
      </w:r>
      <w:r w:rsidRPr="00294CD4">
        <w:rPr>
          <w:rFonts w:ascii="Calibri" w:hAnsi="Calibri" w:cs="Calibri"/>
          <w:lang w:val="sr-Latn-ME"/>
        </w:rPr>
        <w:t>erenje i podršku parlamenta širom političkog spektra.</w:t>
      </w:r>
    </w:p>
    <w:p w14:paraId="537A73F1" w14:textId="77777777" w:rsidR="00F20F73" w:rsidRPr="00294CD4" w:rsidRDefault="00F20F73" w:rsidP="00F20F73">
      <w:pPr>
        <w:rPr>
          <w:rFonts w:ascii="Calibri" w:hAnsi="Calibri" w:cs="Calibri"/>
          <w:lang w:val="sr-Latn-ME"/>
        </w:rPr>
      </w:pPr>
    </w:p>
    <w:p w14:paraId="1BBEBB78" w14:textId="6AA62458" w:rsidR="00F20F73" w:rsidRPr="00294CD4" w:rsidRDefault="00341305" w:rsidP="00F20F73">
      <w:pPr>
        <w:pStyle w:val="ListParagraph"/>
        <w:numPr>
          <w:ilvl w:val="0"/>
          <w:numId w:val="14"/>
        </w:numPr>
        <w:rPr>
          <w:rFonts w:ascii="Calibri" w:hAnsi="Calibri" w:cs="Calibri"/>
          <w:b/>
          <w:bCs/>
          <w:lang w:val="sr-Latn-ME"/>
        </w:rPr>
      </w:pPr>
      <w:r>
        <w:rPr>
          <w:rFonts w:ascii="Calibri" w:hAnsi="Calibri" w:cs="Calibri"/>
          <w:b/>
          <w:bCs/>
          <w:lang w:val="sr-Latn-ME"/>
        </w:rPr>
        <w:t xml:space="preserve">Sadašnji pravni okvir u Crnoj Gori u odnosu na dobru praksu EU </w:t>
      </w:r>
    </w:p>
    <w:p w14:paraId="7F2AB90A" w14:textId="77777777" w:rsidR="00F20F73" w:rsidRPr="00294CD4" w:rsidRDefault="00F20F73" w:rsidP="00F20F73">
      <w:pPr>
        <w:rPr>
          <w:rFonts w:ascii="Calibri" w:hAnsi="Calibri" w:cs="Calibri"/>
          <w:lang w:val="sr-Latn-ME"/>
        </w:rPr>
      </w:pPr>
    </w:p>
    <w:p w14:paraId="2509BBA8" w14:textId="00C959B2" w:rsidR="00F20F73" w:rsidRPr="00294CD4" w:rsidRDefault="00A34DC5" w:rsidP="00F20F73">
      <w:pPr>
        <w:pStyle w:val="ListParagraph"/>
        <w:numPr>
          <w:ilvl w:val="1"/>
          <w:numId w:val="9"/>
        </w:numPr>
        <w:rPr>
          <w:rFonts w:ascii="Calibri" w:hAnsi="Calibri" w:cs="Calibri"/>
          <w:b/>
          <w:bCs/>
          <w:lang w:val="sr-Latn-ME"/>
        </w:rPr>
      </w:pPr>
      <w:r w:rsidRPr="00294CD4">
        <w:rPr>
          <w:rFonts w:ascii="Calibri" w:hAnsi="Calibri" w:cs="Calibri"/>
          <w:b/>
          <w:bCs/>
          <w:lang w:val="sr-Latn-ME"/>
        </w:rPr>
        <w:t xml:space="preserve">Sadašnji pravni okvir u Crnoj Gori </w:t>
      </w:r>
    </w:p>
    <w:p w14:paraId="2E548263" w14:textId="77777777" w:rsidR="00DF4DE6" w:rsidRPr="00294CD4" w:rsidRDefault="00DF4DE6" w:rsidP="00DF4DE6">
      <w:pPr>
        <w:pStyle w:val="ListParagraph"/>
        <w:ind w:left="1440"/>
        <w:rPr>
          <w:rFonts w:ascii="Calibri" w:hAnsi="Calibri" w:cs="Calibri"/>
          <w:b/>
          <w:bCs/>
          <w:lang w:val="sr-Latn-ME"/>
        </w:rPr>
      </w:pPr>
    </w:p>
    <w:p w14:paraId="6CE862DB" w14:textId="77777777" w:rsidR="00FA23E9" w:rsidRDefault="00A34DC5" w:rsidP="00F20F73">
      <w:pPr>
        <w:rPr>
          <w:rFonts w:ascii="Calibri" w:hAnsi="Calibri" w:cs="Calibri"/>
          <w:lang w:val="sr-Latn-ME"/>
        </w:rPr>
      </w:pPr>
      <w:r w:rsidRPr="00294CD4">
        <w:rPr>
          <w:rFonts w:ascii="Calibri" w:hAnsi="Calibri" w:cs="Calibri"/>
          <w:lang w:val="sr-Latn-ME"/>
        </w:rPr>
        <w:t>U Crnoj Gori, DRI je ustanovljena Ustavom</w:t>
      </w:r>
      <w:r w:rsidR="0099218C" w:rsidRPr="00294CD4">
        <w:rPr>
          <w:rStyle w:val="FootnoteReference"/>
          <w:rFonts w:cs="Calibri"/>
          <w:lang w:val="sr-Latn-ME"/>
        </w:rPr>
        <w:footnoteReference w:id="9"/>
      </w:r>
      <w:r w:rsidRPr="00294CD4">
        <w:rPr>
          <w:rFonts w:ascii="Calibri" w:hAnsi="Calibri" w:cs="Calibri"/>
          <w:lang w:val="sr-Latn-ME"/>
        </w:rPr>
        <w:t>, a propisi koji se odnose na izbor i dužinu trajanja mandata rukovodioca DRI i članova Senata propisani su Poglavljem III O</w:t>
      </w:r>
      <w:r w:rsidR="00FA23E9">
        <w:rPr>
          <w:rFonts w:ascii="Calibri" w:hAnsi="Calibri" w:cs="Calibri"/>
          <w:lang w:val="sr-Latn-ME"/>
        </w:rPr>
        <w:t xml:space="preserve">rganizacija i organi Institucije </w:t>
      </w:r>
      <w:r w:rsidRPr="00294CD4">
        <w:rPr>
          <w:rFonts w:ascii="Calibri" w:hAnsi="Calibri" w:cs="Calibri"/>
          <w:lang w:val="sr-Latn-ME"/>
        </w:rPr>
        <w:t xml:space="preserve">Zakona o DRI. </w:t>
      </w:r>
      <w:r w:rsidR="00F20F73" w:rsidRPr="00294CD4">
        <w:rPr>
          <w:rStyle w:val="FootnoteReference"/>
          <w:rFonts w:ascii="Calibri" w:hAnsi="Calibri" w:cs="Calibri"/>
          <w:lang w:val="sr-Latn-ME"/>
        </w:rPr>
        <w:footnoteReference w:id="10"/>
      </w:r>
      <w:r w:rsidR="00F20F73" w:rsidRPr="00294CD4">
        <w:rPr>
          <w:rFonts w:ascii="Calibri" w:hAnsi="Calibri" w:cs="Calibri"/>
          <w:lang w:val="sr-Latn-ME"/>
        </w:rPr>
        <w:t xml:space="preserve"> </w:t>
      </w:r>
    </w:p>
    <w:p w14:paraId="25709312" w14:textId="4E2372A1" w:rsidR="00FA23E9" w:rsidRDefault="00FA23E9" w:rsidP="00F20F73">
      <w:pPr>
        <w:rPr>
          <w:rFonts w:ascii="Calibri" w:hAnsi="Calibri" w:cs="Calibri"/>
          <w:lang w:val="sr-Latn-ME"/>
        </w:rPr>
      </w:pPr>
      <w:r>
        <w:rPr>
          <w:rFonts w:ascii="Calibri" w:hAnsi="Calibri" w:cs="Calibri"/>
          <w:lang w:val="sr-Latn-ME"/>
        </w:rPr>
        <w:t>Prvobitni Zakon o DRI je bio pripremljen kroz podršku međunarodnih eksperata</w:t>
      </w:r>
      <w:r>
        <w:rPr>
          <w:rStyle w:val="FootnoteReference"/>
          <w:rFonts w:cs="Calibri"/>
          <w:lang w:val="sr-Latn-ME"/>
        </w:rPr>
        <w:footnoteReference w:id="11"/>
      </w:r>
      <w:r>
        <w:rPr>
          <w:rFonts w:ascii="Calibri" w:hAnsi="Calibri" w:cs="Calibri"/>
          <w:lang w:val="sr-Latn-ME"/>
        </w:rPr>
        <w:t xml:space="preserve"> od strane međuinstitucionalne radne grupe koja je formirana od strane Skupštine. Skupština je usvojila Zakon 2004. godine.</w:t>
      </w:r>
      <w:r w:rsidR="001D18D0">
        <w:rPr>
          <w:rFonts w:ascii="Calibri" w:hAnsi="Calibri" w:cs="Calibri"/>
          <w:lang w:val="sr-Latn-ME"/>
        </w:rPr>
        <w:t xml:space="preserve"> Međuinstitucionalna radna grupa je u tom periodu predložila da se uspostavi Državna revizorska institucija po modelu kolegijalnog upravljanja Računskih sudova Savezne Republike Njemačke i isto je podržano od strane Skupštine. </w:t>
      </w:r>
    </w:p>
    <w:p w14:paraId="40F16C7F" w14:textId="1F388C2B" w:rsidR="001D18D0" w:rsidRDefault="001D18D0" w:rsidP="00F20F73">
      <w:pPr>
        <w:rPr>
          <w:rFonts w:ascii="Calibri" w:hAnsi="Calibri" w:cs="Calibri"/>
          <w:lang w:val="sr-Latn-ME"/>
        </w:rPr>
      </w:pPr>
    </w:p>
    <w:p w14:paraId="57661DDE" w14:textId="1244E5A3" w:rsidR="001D18D0" w:rsidRDefault="001D18D0" w:rsidP="00F20F73">
      <w:pPr>
        <w:rPr>
          <w:rFonts w:ascii="Calibri" w:hAnsi="Calibri" w:cs="Calibri"/>
          <w:lang w:val="sr-Latn-ME"/>
        </w:rPr>
      </w:pPr>
      <w:r>
        <w:rPr>
          <w:rFonts w:ascii="Calibri" w:hAnsi="Calibri" w:cs="Calibri"/>
          <w:lang w:val="sr-Latn-ME"/>
        </w:rPr>
        <w:t>Nakon toga, uslijedilo je nekoliko izmjena ovog pravnog okvira koje su imale za cilj dalje jačanje zaštite nezavisnosti DRI i predsjednika i članova Senata:</w:t>
      </w:r>
    </w:p>
    <w:p w14:paraId="782A63AC" w14:textId="7623A944" w:rsidR="001D18D0" w:rsidRDefault="001D18D0" w:rsidP="001D18D0">
      <w:pPr>
        <w:pStyle w:val="ListParagraph"/>
        <w:numPr>
          <w:ilvl w:val="0"/>
          <w:numId w:val="19"/>
        </w:numPr>
        <w:rPr>
          <w:rFonts w:ascii="Calibri" w:hAnsi="Calibri" w:cs="Calibri"/>
          <w:lang w:val="sr-Latn-ME"/>
        </w:rPr>
      </w:pPr>
      <w:r>
        <w:rPr>
          <w:rFonts w:ascii="Calibri" w:hAnsi="Calibri" w:cs="Calibri"/>
          <w:lang w:val="sr-Latn-ME"/>
        </w:rPr>
        <w:t>U 2013. godini, uzimajući u obzir zahtjeve iz EU pregovaračkog procesa, funkcionalni imunitet predsjednika i članova Senata DRI je uvršten u članu 144 Ustava Crne Gore</w:t>
      </w:r>
      <w:r>
        <w:rPr>
          <w:rStyle w:val="FootnoteReference"/>
          <w:rFonts w:cs="Calibri"/>
          <w:lang w:val="sr-Latn-ME"/>
        </w:rPr>
        <w:footnoteReference w:id="12"/>
      </w:r>
      <w:r>
        <w:rPr>
          <w:rFonts w:ascii="Calibri" w:hAnsi="Calibri" w:cs="Calibri"/>
          <w:lang w:val="sr-Latn-ME"/>
        </w:rPr>
        <w:t>;</w:t>
      </w:r>
    </w:p>
    <w:p w14:paraId="537B7E14" w14:textId="623A7FE2" w:rsidR="001D18D0" w:rsidRPr="001D18D0" w:rsidRDefault="001D18D0" w:rsidP="001D18D0">
      <w:pPr>
        <w:pStyle w:val="ListParagraph"/>
        <w:numPr>
          <w:ilvl w:val="0"/>
          <w:numId w:val="19"/>
        </w:numPr>
        <w:rPr>
          <w:rFonts w:ascii="Calibri" w:hAnsi="Calibri" w:cs="Calibri"/>
          <w:lang w:val="sr-Latn-ME"/>
        </w:rPr>
      </w:pPr>
      <w:r>
        <w:rPr>
          <w:rFonts w:ascii="Calibri" w:hAnsi="Calibri" w:cs="Calibri"/>
          <w:lang w:val="sr-Latn-ME"/>
        </w:rPr>
        <w:t>U 2014. godini, Zakon o DRI je izmijenjen u oblastima koje su identifikovane kao zahtjevi pregovaračkog poglavlja, uključujući organizacionu</w:t>
      </w:r>
      <w:r>
        <w:rPr>
          <w:rStyle w:val="FootnoteReference"/>
          <w:rFonts w:cs="Calibri"/>
          <w:lang w:val="sr-Latn-ME"/>
        </w:rPr>
        <w:footnoteReference w:id="13"/>
      </w:r>
      <w:r>
        <w:rPr>
          <w:rFonts w:ascii="Calibri" w:hAnsi="Calibri" w:cs="Calibri"/>
          <w:lang w:val="sr-Latn-ME"/>
        </w:rPr>
        <w:t xml:space="preserve"> i finansijsku</w:t>
      </w:r>
      <w:r w:rsidR="0085170F">
        <w:rPr>
          <w:rStyle w:val="FootnoteReference"/>
          <w:rFonts w:cs="Calibri"/>
          <w:lang w:val="sr-Latn-ME"/>
        </w:rPr>
        <w:footnoteReference w:id="14"/>
      </w:r>
      <w:r>
        <w:rPr>
          <w:rFonts w:ascii="Calibri" w:hAnsi="Calibri" w:cs="Calibri"/>
          <w:lang w:val="sr-Latn-ME"/>
        </w:rPr>
        <w:t xml:space="preserve"> nezavisnost. Međuinstitucionalna radna grupa Skupštine, koju su činili predstavnici vladajuće stranke i opozicije, kao i predstavnici NVO sektora i akademske zajednice pripremili su ove izmjene Zakona o DRI u 2014. godini na inicijativu Senata DRI. Izmjene su usvojene nakon procesa konsultacija sa Evropskom komisijom.</w:t>
      </w:r>
    </w:p>
    <w:p w14:paraId="50C7985B" w14:textId="77777777" w:rsidR="00FA23E9" w:rsidRDefault="00FA23E9" w:rsidP="00F20F73">
      <w:pPr>
        <w:rPr>
          <w:rFonts w:ascii="Calibri" w:hAnsi="Calibri" w:cs="Calibri"/>
          <w:lang w:val="sr-Latn-ME"/>
        </w:rPr>
      </w:pPr>
    </w:p>
    <w:p w14:paraId="0170DBCD" w14:textId="7C0B18E9" w:rsidR="00F20F73" w:rsidRPr="00294CD4" w:rsidRDefault="00A34DC5" w:rsidP="00F20F73">
      <w:pPr>
        <w:rPr>
          <w:rFonts w:ascii="Calibri" w:hAnsi="Calibri" w:cs="Calibri"/>
          <w:lang w:val="sr-Latn-ME"/>
        </w:rPr>
      </w:pPr>
      <w:r w:rsidRPr="00294CD4">
        <w:rPr>
          <w:rFonts w:ascii="Calibri" w:hAnsi="Calibri" w:cs="Calibri"/>
          <w:lang w:val="sr-Latn-ME"/>
        </w:rPr>
        <w:t>Zakonom je predviđeno da DRI ima dva radna tijela, Senat i Kolegijume. Članove Senata imenuje i razrješava Skupština na predlog nadležnog radnog t</w:t>
      </w:r>
      <w:r w:rsidR="00341305">
        <w:rPr>
          <w:rFonts w:ascii="Calibri" w:hAnsi="Calibri" w:cs="Calibri"/>
          <w:lang w:val="sr-Latn-ME"/>
        </w:rPr>
        <w:t>ij</w:t>
      </w:r>
      <w:r w:rsidRPr="00294CD4">
        <w:rPr>
          <w:rFonts w:ascii="Calibri" w:hAnsi="Calibri" w:cs="Calibri"/>
          <w:lang w:val="sr-Latn-ME"/>
        </w:rPr>
        <w:t xml:space="preserve">ela Skupštine nadležnog za poslove finansija. Predsjednika Senata imenuje Skupština iz reda članova Senata </w:t>
      </w:r>
      <w:r w:rsidRPr="0085170F">
        <w:rPr>
          <w:rFonts w:ascii="Calibri" w:hAnsi="Calibri" w:cs="Calibri"/>
          <w:u w:val="single"/>
          <w:lang w:val="sr-Latn-ME"/>
        </w:rPr>
        <w:t>na period od devet godina</w:t>
      </w:r>
      <w:r w:rsidRPr="00294CD4">
        <w:rPr>
          <w:rFonts w:ascii="Calibri" w:hAnsi="Calibri" w:cs="Calibri"/>
          <w:lang w:val="sr-Latn-ME"/>
        </w:rPr>
        <w:t>. Isto lice ne može biti ponovo imenovano za predsjednika</w:t>
      </w:r>
      <w:r w:rsidR="00F20F73" w:rsidRPr="00294CD4">
        <w:rPr>
          <w:rStyle w:val="FootnoteReference"/>
          <w:rFonts w:ascii="Calibri" w:hAnsi="Calibri" w:cs="Calibri"/>
          <w:lang w:val="sr-Latn-ME"/>
        </w:rPr>
        <w:footnoteReference w:id="15"/>
      </w:r>
      <w:r w:rsidR="00F20F73" w:rsidRPr="00294CD4">
        <w:rPr>
          <w:rFonts w:ascii="Calibri" w:hAnsi="Calibri" w:cs="Calibri"/>
          <w:lang w:val="sr-Latn-ME"/>
        </w:rPr>
        <w:t xml:space="preserve">. </w:t>
      </w:r>
      <w:r w:rsidRPr="00294CD4">
        <w:rPr>
          <w:rFonts w:ascii="Calibri" w:hAnsi="Calibri" w:cs="Calibri"/>
          <w:lang w:val="sr-Latn-ME"/>
        </w:rPr>
        <w:t>Funkcija člana Senata je stalna.</w:t>
      </w:r>
      <w:r w:rsidR="00F20F73" w:rsidRPr="00294CD4">
        <w:rPr>
          <w:rStyle w:val="FootnoteReference"/>
          <w:rFonts w:ascii="Calibri" w:hAnsi="Calibri" w:cs="Calibri"/>
          <w:lang w:val="sr-Latn-ME"/>
        </w:rPr>
        <w:footnoteReference w:id="16"/>
      </w:r>
      <w:r w:rsidR="00F20F73" w:rsidRPr="00294CD4">
        <w:rPr>
          <w:rFonts w:ascii="Calibri" w:hAnsi="Calibri" w:cs="Calibri"/>
          <w:lang w:val="sr-Latn-ME"/>
        </w:rPr>
        <w:t xml:space="preserve">. </w:t>
      </w:r>
    </w:p>
    <w:p w14:paraId="61ACEAB0" w14:textId="77777777" w:rsidR="00F20F73" w:rsidRPr="00294CD4" w:rsidRDefault="00F20F73" w:rsidP="00F20F73">
      <w:pPr>
        <w:rPr>
          <w:rFonts w:ascii="Calibri" w:hAnsi="Calibri" w:cs="Calibri"/>
          <w:lang w:val="sr-Latn-ME"/>
        </w:rPr>
      </w:pPr>
    </w:p>
    <w:p w14:paraId="41B44A04" w14:textId="2615FB3E" w:rsidR="00F20F73" w:rsidRPr="00294CD4" w:rsidRDefault="00A34DC5" w:rsidP="00F20F73">
      <w:pPr>
        <w:rPr>
          <w:rFonts w:ascii="Calibri" w:hAnsi="Calibri" w:cs="Calibri"/>
          <w:lang w:val="sr-Latn-ME"/>
        </w:rPr>
      </w:pPr>
      <w:r w:rsidRPr="00294CD4">
        <w:rPr>
          <w:rFonts w:ascii="Calibri" w:hAnsi="Calibri" w:cs="Calibri"/>
          <w:lang w:val="sr-Latn-ME"/>
        </w:rPr>
        <w:t xml:space="preserve">To znači da dok je </w:t>
      </w:r>
      <w:r w:rsidRPr="0085170F">
        <w:rPr>
          <w:rFonts w:ascii="Calibri" w:hAnsi="Calibri" w:cs="Calibri"/>
          <w:b/>
          <w:lang w:val="sr-Latn-ME"/>
        </w:rPr>
        <w:t xml:space="preserve">funkcija predsjednika ograničena na devet godina, funkcija članova </w:t>
      </w:r>
      <w:r w:rsidR="00341305" w:rsidRPr="0085170F">
        <w:rPr>
          <w:rFonts w:ascii="Calibri" w:hAnsi="Calibri" w:cs="Calibri"/>
          <w:b/>
          <w:lang w:val="sr-Latn-ME"/>
        </w:rPr>
        <w:t>S</w:t>
      </w:r>
      <w:r w:rsidRPr="0085170F">
        <w:rPr>
          <w:rFonts w:ascii="Calibri" w:hAnsi="Calibri" w:cs="Calibri"/>
          <w:b/>
          <w:lang w:val="sr-Latn-ME"/>
        </w:rPr>
        <w:t xml:space="preserve">enata je ograničena samo zakonom propisanom starosnom </w:t>
      </w:r>
      <w:r w:rsidR="00341305" w:rsidRPr="0085170F">
        <w:rPr>
          <w:rFonts w:ascii="Calibri" w:hAnsi="Calibri" w:cs="Calibri"/>
          <w:b/>
          <w:lang w:val="sr-Latn-ME"/>
        </w:rPr>
        <w:t>granicom</w:t>
      </w:r>
      <w:r w:rsidRPr="0085170F">
        <w:rPr>
          <w:rFonts w:ascii="Calibri" w:hAnsi="Calibri" w:cs="Calibri"/>
          <w:b/>
          <w:lang w:val="sr-Latn-ME"/>
        </w:rPr>
        <w:t xml:space="preserve"> za odlazak u penziju</w:t>
      </w:r>
      <w:r w:rsidR="00F20F73" w:rsidRPr="0085170F">
        <w:rPr>
          <w:rStyle w:val="FootnoteReference"/>
          <w:rFonts w:ascii="Calibri" w:hAnsi="Calibri" w:cs="Calibri"/>
          <w:b/>
          <w:bCs/>
          <w:lang w:val="sr-Latn-ME"/>
        </w:rPr>
        <w:footnoteReference w:id="17"/>
      </w:r>
      <w:r w:rsidR="00F20F73" w:rsidRPr="0085170F">
        <w:rPr>
          <w:rFonts w:ascii="Calibri" w:hAnsi="Calibri" w:cs="Calibri"/>
          <w:b/>
          <w:lang w:val="sr-Latn-ME"/>
        </w:rPr>
        <w:t>.</w:t>
      </w:r>
      <w:r w:rsidR="00F20F73" w:rsidRPr="00294CD4">
        <w:rPr>
          <w:rFonts w:ascii="Calibri" w:hAnsi="Calibri" w:cs="Calibri"/>
          <w:lang w:val="sr-Latn-ME"/>
        </w:rPr>
        <w:t xml:space="preserve"> </w:t>
      </w:r>
    </w:p>
    <w:p w14:paraId="6A220FBC" w14:textId="1BC1F48B" w:rsidR="00A34DC5" w:rsidRPr="00294CD4" w:rsidRDefault="00A34DC5" w:rsidP="00A34DC5">
      <w:pPr>
        <w:rPr>
          <w:rFonts w:ascii="Calibri" w:hAnsi="Calibri" w:cs="Calibri"/>
          <w:lang w:val="sr-Latn-ME"/>
        </w:rPr>
      </w:pPr>
    </w:p>
    <w:p w14:paraId="54963C92" w14:textId="43640CAD" w:rsidR="00A34DC5" w:rsidRPr="00341305" w:rsidRDefault="00A34DC5" w:rsidP="007834C8">
      <w:pPr>
        <w:rPr>
          <w:rFonts w:ascii="Calibri" w:hAnsi="Calibri" w:cs="Calibri"/>
          <w:b/>
          <w:i/>
          <w:lang w:val="sr-Latn-ME"/>
        </w:rPr>
      </w:pPr>
      <w:r w:rsidRPr="00294CD4">
        <w:rPr>
          <w:rFonts w:ascii="Calibri" w:hAnsi="Calibri" w:cs="Calibri"/>
          <w:lang w:val="sr-Latn-ME"/>
        </w:rPr>
        <w:t>Novinski članak koji se pominje u uvodu navodi da „</w:t>
      </w:r>
      <w:r w:rsidR="007834C8" w:rsidRPr="00552FF1">
        <w:rPr>
          <w:rFonts w:ascii="Calibri" w:hAnsi="Calibri" w:cs="Calibri"/>
          <w:i/>
          <w:lang w:val="sr-Latn-ME"/>
        </w:rPr>
        <w:t>Različita je praksa u članicama EU kada je riječ o trajanju mandata senatora. Stalnost funkcije zastupljena je u Njemačkoj, Francuskoj, Italiji, Holandiji, Češkoj, Grčkoj, Irskoj i Portugaliji. U Švedskoj, Španiji, Slovačkoj, Sloveniji, Rumuniji, Poljskoj, Malti, Mađarskoj, Luksemburgu, Latviji, Litvaniji, Hrvatskoj, Finskoj, Estoniji, Danskoj, Bugarskoj, Belgiji i Austriji mandati su ograničeni između tri i devet godina, u zavisnosti od zemlje.</w:t>
      </w:r>
      <w:r w:rsidRPr="00552FF1">
        <w:rPr>
          <w:rFonts w:ascii="Calibri" w:hAnsi="Calibri" w:cs="Calibri"/>
          <w:i/>
          <w:lang w:val="sr-Latn-ME"/>
        </w:rPr>
        <w:t>.”</w:t>
      </w:r>
    </w:p>
    <w:p w14:paraId="41BD44FA" w14:textId="609EB0EF" w:rsidR="00534B71" w:rsidRPr="00294CD4" w:rsidRDefault="00534B71" w:rsidP="00F20F73">
      <w:pPr>
        <w:rPr>
          <w:rFonts w:ascii="Calibri" w:hAnsi="Calibri" w:cs="Calibri"/>
          <w:lang w:val="sr-Latn-ME"/>
        </w:rPr>
      </w:pPr>
    </w:p>
    <w:p w14:paraId="30E1F44C" w14:textId="77F2A4D8" w:rsidR="00F20F73" w:rsidRPr="00294CD4" w:rsidRDefault="007834C8" w:rsidP="00F20F73">
      <w:pPr>
        <w:pStyle w:val="ListParagraph"/>
        <w:numPr>
          <w:ilvl w:val="1"/>
          <w:numId w:val="9"/>
        </w:numPr>
        <w:rPr>
          <w:rFonts w:ascii="Calibri" w:hAnsi="Calibri" w:cs="Calibri"/>
          <w:b/>
          <w:bCs/>
          <w:lang w:val="sr-Latn-ME"/>
        </w:rPr>
      </w:pPr>
      <w:r w:rsidRPr="00294CD4">
        <w:rPr>
          <w:rFonts w:ascii="Calibri" w:hAnsi="Calibri" w:cs="Calibri"/>
          <w:b/>
          <w:bCs/>
          <w:lang w:val="sr-Latn-ME"/>
        </w:rPr>
        <w:t xml:space="preserve">Detaljna ocjena EU praksi </w:t>
      </w:r>
    </w:p>
    <w:p w14:paraId="77CBD21E" w14:textId="0B2FA4EB" w:rsidR="007834C8" w:rsidRPr="00294CD4" w:rsidRDefault="007834C8" w:rsidP="007834C8">
      <w:pPr>
        <w:rPr>
          <w:lang w:val="sr-Latn-ME"/>
        </w:rPr>
      </w:pPr>
      <w:bookmarkStart w:id="0" w:name="_GoBack"/>
      <w:bookmarkEnd w:id="0"/>
    </w:p>
    <w:p w14:paraId="4AF99578" w14:textId="0FFCDD0C" w:rsidR="007834C8" w:rsidRPr="00294CD4" w:rsidRDefault="007834C8" w:rsidP="007834C8">
      <w:pPr>
        <w:rPr>
          <w:rFonts w:ascii="Calibri" w:hAnsi="Calibri" w:cs="Calibri"/>
          <w:lang w:val="sr-Latn-ME"/>
        </w:rPr>
      </w:pPr>
      <w:r w:rsidRPr="00294CD4">
        <w:rPr>
          <w:rFonts w:ascii="Calibri" w:hAnsi="Calibri" w:cs="Calibri"/>
          <w:lang w:val="sr-Latn-ME"/>
        </w:rPr>
        <w:t>Iako je tačno da unutar EU postoje različiti modeli koji se odnose na dužinu trajanja mandata rukovodioca i članova VRI, gore pomenuta</w:t>
      </w:r>
      <w:r w:rsidR="00341305">
        <w:rPr>
          <w:rFonts w:ascii="Calibri" w:hAnsi="Calibri" w:cs="Calibri"/>
          <w:lang w:val="sr-Latn-ME"/>
        </w:rPr>
        <w:t xml:space="preserve"> lista donekle dovodi u zabludu, </w:t>
      </w:r>
      <w:r w:rsidRPr="00294CD4">
        <w:rPr>
          <w:rFonts w:ascii="Calibri" w:hAnsi="Calibri" w:cs="Calibri"/>
          <w:lang w:val="sr-Latn-ME"/>
        </w:rPr>
        <w:t>jer ne pravi razliku između VRI, koje nemaju članove Senata, već kojima upravlja samo jedno lice i takođe ne pravi razliku između dužine mandata rukovodioca ili predsjednika VRI i mandata članova</w:t>
      </w:r>
      <w:r w:rsidR="00341305">
        <w:rPr>
          <w:rFonts w:ascii="Calibri" w:hAnsi="Calibri" w:cs="Calibri"/>
          <w:lang w:val="sr-Latn-ME"/>
        </w:rPr>
        <w:t xml:space="preserve"> Senata</w:t>
      </w:r>
      <w:r w:rsidRPr="00294CD4">
        <w:rPr>
          <w:rFonts w:ascii="Calibri" w:hAnsi="Calibri" w:cs="Calibri"/>
          <w:lang w:val="sr-Latn-ME"/>
        </w:rPr>
        <w:t xml:space="preserve">. </w:t>
      </w:r>
    </w:p>
    <w:p w14:paraId="75408090" w14:textId="77777777" w:rsidR="007834C8" w:rsidRPr="00294CD4" w:rsidRDefault="007834C8" w:rsidP="007834C8">
      <w:pPr>
        <w:rPr>
          <w:rFonts w:ascii="Calibri" w:hAnsi="Calibri" w:cs="Calibri"/>
          <w:lang w:val="sr-Latn-ME"/>
        </w:rPr>
      </w:pPr>
    </w:p>
    <w:p w14:paraId="248110E0" w14:textId="34C4BDF2" w:rsidR="007834C8" w:rsidRPr="00294CD4" w:rsidRDefault="007834C8" w:rsidP="007834C8">
      <w:pPr>
        <w:rPr>
          <w:rFonts w:ascii="Calibri" w:hAnsi="Calibri" w:cs="Calibri"/>
          <w:lang w:val="sr-Latn-ME"/>
        </w:rPr>
      </w:pPr>
      <w:r w:rsidRPr="00294CD4">
        <w:rPr>
          <w:rFonts w:ascii="Calibri" w:hAnsi="Calibri" w:cs="Calibri"/>
          <w:lang w:val="sr-Latn-ME"/>
        </w:rPr>
        <w:t xml:space="preserve">Nekoliko zemalja EU odlučilo se za trajni mandat članova, dok su druge smatrale da je prikladnije ograničiti dužinu mandata. Postoji nekoliko različitih modela i potrebno je napraviti razliku između mandata predsjednika/rukovodioca DRI i mandata članova </w:t>
      </w:r>
      <w:r w:rsidR="00FB17B6">
        <w:rPr>
          <w:rFonts w:ascii="Calibri" w:hAnsi="Calibri" w:cs="Calibri"/>
          <w:lang w:val="sr-Latn-ME"/>
        </w:rPr>
        <w:t>V</w:t>
      </w:r>
      <w:r w:rsidRPr="00294CD4">
        <w:rPr>
          <w:rFonts w:ascii="Calibri" w:hAnsi="Calibri" w:cs="Calibri"/>
          <w:lang w:val="sr-Latn-ME"/>
        </w:rPr>
        <w:t>RI.</w:t>
      </w:r>
    </w:p>
    <w:p w14:paraId="7BA3C428" w14:textId="3DC4A280" w:rsidR="007834C8" w:rsidRPr="00294CD4" w:rsidRDefault="007834C8" w:rsidP="00F20F73">
      <w:pPr>
        <w:rPr>
          <w:rFonts w:ascii="Calibri" w:hAnsi="Calibri" w:cs="Calibri"/>
          <w:lang w:val="sr-Latn-ME"/>
        </w:rPr>
      </w:pPr>
    </w:p>
    <w:p w14:paraId="5A005800" w14:textId="325606B2" w:rsidR="007834C8" w:rsidRPr="00294CD4" w:rsidRDefault="007834C8" w:rsidP="007834C8">
      <w:pPr>
        <w:pStyle w:val="ListParagraph"/>
        <w:numPr>
          <w:ilvl w:val="1"/>
          <w:numId w:val="13"/>
        </w:numPr>
        <w:rPr>
          <w:rFonts w:ascii="Calibri" w:hAnsi="Calibri" w:cs="Calibri"/>
          <w:b/>
          <w:bCs/>
          <w:lang w:val="sr-Latn-ME"/>
        </w:rPr>
      </w:pPr>
      <w:r w:rsidRPr="00294CD4">
        <w:rPr>
          <w:rFonts w:ascii="Calibri" w:hAnsi="Calibri" w:cs="Calibri"/>
          <w:b/>
          <w:bCs/>
          <w:lang w:val="sr-Latn-ME"/>
        </w:rPr>
        <w:t xml:space="preserve">Dužina </w:t>
      </w:r>
      <w:r w:rsidR="00FB17B6">
        <w:rPr>
          <w:rFonts w:ascii="Calibri" w:hAnsi="Calibri" w:cs="Calibri"/>
          <w:b/>
          <w:bCs/>
          <w:lang w:val="sr-Latn-ME"/>
        </w:rPr>
        <w:t xml:space="preserve">trajanja </w:t>
      </w:r>
      <w:r w:rsidRPr="00294CD4">
        <w:rPr>
          <w:rFonts w:ascii="Calibri" w:hAnsi="Calibri" w:cs="Calibri"/>
          <w:b/>
          <w:bCs/>
          <w:lang w:val="sr-Latn-ME"/>
        </w:rPr>
        <w:t xml:space="preserve">mandata rukovodioca/predsjednika </w:t>
      </w:r>
    </w:p>
    <w:p w14:paraId="6F59BF7E" w14:textId="77777777" w:rsidR="007834C8" w:rsidRPr="00294CD4" w:rsidRDefault="007834C8" w:rsidP="007834C8">
      <w:pPr>
        <w:pStyle w:val="ListParagraph"/>
        <w:ind w:left="1215"/>
        <w:rPr>
          <w:rFonts w:ascii="Calibri" w:hAnsi="Calibri" w:cs="Calibri"/>
          <w:b/>
          <w:bCs/>
          <w:lang w:val="sr-Latn-ME"/>
        </w:rPr>
      </w:pPr>
    </w:p>
    <w:p w14:paraId="19AFDCAF" w14:textId="77777777" w:rsidR="007834C8" w:rsidRPr="00294CD4" w:rsidRDefault="007834C8" w:rsidP="007834C8">
      <w:pPr>
        <w:rPr>
          <w:rFonts w:ascii="Calibri" w:hAnsi="Calibri" w:cs="Calibri"/>
          <w:shd w:val="clear" w:color="auto" w:fill="FFFFFF"/>
          <w:lang w:val="sr-Latn-ME"/>
        </w:rPr>
      </w:pPr>
      <w:r w:rsidRPr="00294CD4">
        <w:rPr>
          <w:rFonts w:ascii="Calibri" w:hAnsi="Calibri" w:cs="Calibri"/>
          <w:shd w:val="clear" w:color="auto" w:fill="FFFFFF"/>
          <w:lang w:val="sr-Latn-ME"/>
        </w:rPr>
        <w:t xml:space="preserve">Sljedeća ocjena je zasnovana na onlajn portalu pod nazivom </w:t>
      </w:r>
      <w:r w:rsidRPr="00294CD4">
        <w:rPr>
          <w:rFonts w:ascii="Calibri" w:hAnsi="Calibri" w:cs="Calibri"/>
          <w:b/>
          <w:shd w:val="clear" w:color="auto" w:fill="FFFFFF"/>
          <w:lang w:val="sr-Latn-ME"/>
        </w:rPr>
        <w:t>Javna revizija u Evropskoj uniji</w:t>
      </w:r>
      <w:r w:rsidRPr="00294CD4">
        <w:rPr>
          <w:rFonts w:ascii="Calibri" w:hAnsi="Calibri" w:cs="Calibri"/>
          <w:shd w:val="clear" w:color="auto" w:fill="FFFFFF"/>
          <w:lang w:val="sr-Latn-ME"/>
        </w:rPr>
        <w:t>,</w:t>
      </w:r>
      <w:r w:rsidR="00F20F73" w:rsidRPr="00294CD4">
        <w:rPr>
          <w:rStyle w:val="FootnoteReference"/>
          <w:rFonts w:ascii="Calibri" w:hAnsi="Calibri" w:cs="Calibri"/>
          <w:shd w:val="clear" w:color="auto" w:fill="EFF1F0"/>
          <w:lang w:val="sr-Latn-ME"/>
        </w:rPr>
        <w:footnoteReference w:id="18"/>
      </w:r>
      <w:r w:rsidR="00F20F73" w:rsidRPr="00294CD4">
        <w:rPr>
          <w:rFonts w:ascii="Calibri" w:hAnsi="Calibri" w:cs="Calibri"/>
          <w:shd w:val="clear" w:color="auto" w:fill="EFF1F0"/>
          <w:lang w:val="sr-Latn-ME"/>
        </w:rPr>
        <w:t xml:space="preserve">, </w:t>
      </w:r>
      <w:r w:rsidRPr="00294CD4">
        <w:rPr>
          <w:rFonts w:ascii="Calibri" w:hAnsi="Calibri" w:cs="Calibri"/>
          <w:shd w:val="clear" w:color="auto" w:fill="FFFFFF"/>
          <w:lang w:val="sr-Latn-ME"/>
        </w:rPr>
        <w:t>koji je objavio Evropski revizorski sud (ECA). Prikazuje preglede različitih aranžmana u VRI u državama članicama EU i Evropskom revizorskom sudu.</w:t>
      </w:r>
    </w:p>
    <w:p w14:paraId="7467890E" w14:textId="7900404E" w:rsidR="00F20F73" w:rsidRPr="00294CD4" w:rsidRDefault="00F20F73" w:rsidP="00F20F73">
      <w:pPr>
        <w:rPr>
          <w:rFonts w:ascii="Calibri" w:hAnsi="Calibri" w:cs="Calibri"/>
          <w:lang w:val="sr-Latn-ME"/>
        </w:rPr>
      </w:pPr>
    </w:p>
    <w:p w14:paraId="4301CA95" w14:textId="207DD655" w:rsidR="00F20F73" w:rsidRPr="00294CD4" w:rsidRDefault="007834C8" w:rsidP="00F20F73">
      <w:pPr>
        <w:rPr>
          <w:rFonts w:ascii="Calibri" w:hAnsi="Calibri" w:cs="Calibri"/>
          <w:shd w:val="clear" w:color="auto" w:fill="FFFFFF"/>
          <w:lang w:val="sr-Latn-ME"/>
        </w:rPr>
      </w:pPr>
      <w:r w:rsidRPr="00294CD4">
        <w:rPr>
          <w:rFonts w:ascii="Calibri" w:hAnsi="Calibri" w:cs="Calibri"/>
          <w:shd w:val="clear" w:color="auto" w:fill="FFFFFF"/>
          <w:lang w:val="sr-Latn-ME"/>
        </w:rPr>
        <w:t>Postoje različiti načini klasifikacije VRI. Tradicionalno, oni su grupisani u tijela sa organizacionim strukturama koje su ukorjenjene u francuskoj/latinskoj, anglosaksonskoj ili germanskoj tradiciji. Danas se, međutim, uglavnom pravi razlika između organa sa ili bez sudskih nadležnosti. Druga razlika se može napraviti između monokratskih VRI kojima rukovodi jedna osoba (predsjednik ili generalni revizor) i VRI kojima upravlja kolegijalno tijelo (npr. odbor, kolegijum, senat ili plenum</w:t>
      </w:r>
      <w:r w:rsidR="00F20F73" w:rsidRPr="00294CD4">
        <w:rPr>
          <w:rFonts w:ascii="Calibri" w:hAnsi="Calibri" w:cs="Calibri"/>
          <w:shd w:val="clear" w:color="auto" w:fill="FFFFFF"/>
          <w:lang w:val="sr-Latn-ME"/>
        </w:rPr>
        <w:t>)</w:t>
      </w:r>
      <w:r w:rsidR="00F20F73" w:rsidRPr="00294CD4">
        <w:rPr>
          <w:rStyle w:val="FootnoteReference"/>
          <w:rFonts w:ascii="Calibri" w:hAnsi="Calibri" w:cs="Calibri"/>
          <w:shd w:val="clear" w:color="auto" w:fill="FFFFFF"/>
          <w:lang w:val="sr-Latn-ME"/>
        </w:rPr>
        <w:footnoteReference w:id="19"/>
      </w:r>
      <w:r w:rsidR="00F20F73" w:rsidRPr="00294CD4">
        <w:rPr>
          <w:rFonts w:ascii="Calibri" w:hAnsi="Calibri" w:cs="Calibri"/>
          <w:shd w:val="clear" w:color="auto" w:fill="FFFFFF"/>
          <w:lang w:val="sr-Latn-ME"/>
        </w:rPr>
        <w:t xml:space="preserve">. </w:t>
      </w:r>
    </w:p>
    <w:p w14:paraId="5868A214" w14:textId="5EED29EF" w:rsidR="007834C8" w:rsidRPr="00294CD4" w:rsidRDefault="007834C8" w:rsidP="007834C8">
      <w:pPr>
        <w:rPr>
          <w:rFonts w:ascii="Calibri" w:hAnsi="Calibri" w:cs="Calibri"/>
          <w:shd w:val="clear" w:color="auto" w:fill="FFFFFF"/>
          <w:lang w:val="sr-Latn-ME"/>
        </w:rPr>
      </w:pPr>
    </w:p>
    <w:p w14:paraId="5447EDBB" w14:textId="3184B8B9" w:rsidR="00F20F73" w:rsidRPr="00294CD4" w:rsidRDefault="007834C8" w:rsidP="00F20F73">
      <w:pPr>
        <w:rPr>
          <w:rFonts w:ascii="Calibri" w:hAnsi="Calibri" w:cs="Calibri"/>
          <w:b/>
          <w:lang w:val="sr-Latn-ME"/>
        </w:rPr>
      </w:pPr>
      <w:r w:rsidRPr="00294CD4">
        <w:rPr>
          <w:rFonts w:ascii="Calibri" w:hAnsi="Calibri" w:cs="Calibri"/>
          <w:lang w:val="sr-Latn-ME"/>
        </w:rPr>
        <w:t xml:space="preserve">U državama članicama EU postoji 13 VRI koje su organizovane po monokratskom modelu sa samo jednim glavnim revizorom ili predsjednikom. </w:t>
      </w:r>
      <w:r w:rsidRPr="00294CD4">
        <w:rPr>
          <w:rFonts w:ascii="Calibri" w:hAnsi="Calibri" w:cs="Calibri"/>
          <w:b/>
          <w:lang w:val="sr-Latn-ME"/>
        </w:rPr>
        <w:t>15 VRI (uključujući ECA) upravlja kolegijalno tijelo kao u Crnoj Gori.</w:t>
      </w:r>
    </w:p>
    <w:p w14:paraId="6677FDB7" w14:textId="77777777" w:rsidR="00F20F73" w:rsidRPr="00294CD4" w:rsidRDefault="00F20F73" w:rsidP="00F20F73">
      <w:pPr>
        <w:rPr>
          <w:rFonts w:ascii="Calibri" w:hAnsi="Calibri" w:cs="Calibri"/>
          <w:lang w:val="sr-Latn-ME"/>
        </w:rPr>
      </w:pPr>
    </w:p>
    <w:p w14:paraId="244D4D11" w14:textId="198DD519" w:rsidR="00F20F73" w:rsidRPr="00294CD4" w:rsidRDefault="007834C8" w:rsidP="00F20F73">
      <w:pPr>
        <w:rPr>
          <w:rFonts w:ascii="Calibri" w:hAnsi="Calibri" w:cs="Calibri"/>
          <w:lang w:val="sr-Latn-ME"/>
        </w:rPr>
      </w:pPr>
      <w:r w:rsidRPr="00294CD4">
        <w:rPr>
          <w:rFonts w:ascii="Calibri" w:hAnsi="Calibri" w:cs="Calibri"/>
          <w:lang w:val="sr-Latn-ME"/>
        </w:rPr>
        <w:t xml:space="preserve">U velikoj većini (23) od 28 zemalja članica EU, mandat šefa/predsjednika DRI je vremenski ograničen, kao i u Crnoj Gori. Broj godina mandata predsjednika kreće se između tri (Poljska) i dvanaest (Austrija, Nemačka, Mađarska) godina. </w:t>
      </w:r>
      <w:r w:rsidRPr="004B6DA9">
        <w:rPr>
          <w:rFonts w:ascii="Calibri" w:hAnsi="Calibri" w:cs="Calibri"/>
          <w:b/>
          <w:lang w:val="sr-Latn-ME"/>
        </w:rPr>
        <w:t>Sa devetogodišnjim mandatom predsjednika DRI, Crna Gora je u skladu sa navedenom praksom.</w:t>
      </w:r>
      <w:r w:rsidRPr="00294CD4">
        <w:rPr>
          <w:rFonts w:ascii="Calibri" w:hAnsi="Calibri" w:cs="Calibri"/>
          <w:lang w:val="sr-Latn-ME"/>
        </w:rPr>
        <w:t xml:space="preserve"> Samo pet VRI ima neograničen mandat predsjednika/rukovodioca svojih institucija (Kipar, Francuska, Irska, Italija, Holandija).</w:t>
      </w:r>
    </w:p>
    <w:p w14:paraId="44925B1E" w14:textId="77777777" w:rsidR="00F20F73" w:rsidRPr="00294CD4" w:rsidRDefault="00F20F73" w:rsidP="00F20F73">
      <w:pPr>
        <w:rPr>
          <w:rFonts w:ascii="Calibri" w:hAnsi="Calibri" w:cs="Calibri"/>
          <w:lang w:val="sr-Latn-ME"/>
        </w:rPr>
      </w:pPr>
    </w:p>
    <w:p w14:paraId="3DBE74DA" w14:textId="78D02C7E" w:rsidR="00F20F73" w:rsidRPr="00294CD4" w:rsidRDefault="007834C8" w:rsidP="00F20F73">
      <w:pPr>
        <w:rPr>
          <w:rFonts w:ascii="Calibri" w:hAnsi="Calibri" w:cs="Calibri"/>
          <w:lang w:val="sr-Latn-ME"/>
        </w:rPr>
      </w:pPr>
      <w:r w:rsidRPr="004B6DA9">
        <w:rPr>
          <w:rFonts w:ascii="Calibri" w:hAnsi="Calibri" w:cs="Calibri"/>
          <w:b/>
          <w:lang w:val="sr-Latn-ME"/>
        </w:rPr>
        <w:t xml:space="preserve">Od 23 VRI u kojima rukovodilac/predsjednik ima ograničen mandat, u 16 ​​VRI može se vršiti reizbor rukovodioca/predsjednika, dok je u njih sedam ovo nemoguće, kao i u Crnoj Gori. </w:t>
      </w:r>
    </w:p>
    <w:p w14:paraId="4D46FC4B" w14:textId="0C4BAD59" w:rsidR="00534B71" w:rsidRPr="00294CD4" w:rsidRDefault="00534B71" w:rsidP="00F20F73">
      <w:pPr>
        <w:rPr>
          <w:rFonts w:ascii="Calibri" w:hAnsi="Calibri" w:cs="Calibri"/>
          <w:lang w:val="sr-Latn-ME"/>
        </w:rPr>
      </w:pPr>
    </w:p>
    <w:p w14:paraId="5C0FEC22" w14:textId="500EA6D8" w:rsidR="00F20F73" w:rsidRPr="00294CD4" w:rsidRDefault="00F20F73" w:rsidP="00F20F73">
      <w:pPr>
        <w:rPr>
          <w:rFonts w:ascii="Calibri" w:hAnsi="Calibri" w:cs="Calibri"/>
          <w:b/>
          <w:bCs/>
          <w:lang w:val="sr-Latn-ME"/>
        </w:rPr>
      </w:pPr>
      <w:r w:rsidRPr="00294CD4">
        <w:rPr>
          <w:rFonts w:ascii="Calibri" w:hAnsi="Calibri" w:cs="Calibri"/>
          <w:b/>
          <w:bCs/>
          <w:lang w:val="sr-Latn-ME"/>
        </w:rPr>
        <w:tab/>
        <w:t xml:space="preserve">2.2 </w:t>
      </w:r>
      <w:r w:rsidR="007834C8" w:rsidRPr="00294CD4">
        <w:rPr>
          <w:rFonts w:ascii="Calibri" w:hAnsi="Calibri" w:cs="Calibri"/>
          <w:b/>
          <w:bCs/>
          <w:lang w:val="sr-Latn-ME"/>
        </w:rPr>
        <w:t xml:space="preserve">Dužina </w:t>
      </w:r>
      <w:r w:rsidR="004B6DA9">
        <w:rPr>
          <w:rFonts w:ascii="Calibri" w:hAnsi="Calibri" w:cs="Calibri"/>
          <w:b/>
          <w:bCs/>
          <w:lang w:val="sr-Latn-ME"/>
        </w:rPr>
        <w:t xml:space="preserve">trajanja </w:t>
      </w:r>
      <w:r w:rsidR="007834C8" w:rsidRPr="00294CD4">
        <w:rPr>
          <w:rFonts w:ascii="Calibri" w:hAnsi="Calibri" w:cs="Calibri"/>
          <w:b/>
          <w:bCs/>
          <w:lang w:val="sr-Latn-ME"/>
        </w:rPr>
        <w:t xml:space="preserve">mandata članova VRI </w:t>
      </w:r>
    </w:p>
    <w:p w14:paraId="69E2BDC6" w14:textId="77777777" w:rsidR="00F20F73" w:rsidRPr="00294CD4" w:rsidRDefault="00F20F73" w:rsidP="00F20F73">
      <w:pPr>
        <w:rPr>
          <w:rFonts w:ascii="Calibri" w:hAnsi="Calibri" w:cs="Calibri"/>
          <w:lang w:val="sr-Latn-ME"/>
        </w:rPr>
      </w:pPr>
    </w:p>
    <w:p w14:paraId="3A974493" w14:textId="6B003A85" w:rsidR="00F20F73" w:rsidRPr="00294CD4" w:rsidRDefault="007834C8" w:rsidP="00F20F73">
      <w:pPr>
        <w:rPr>
          <w:rFonts w:ascii="Calibri" w:hAnsi="Calibri" w:cs="Calibri"/>
          <w:lang w:val="sr-Latn-ME"/>
        </w:rPr>
      </w:pPr>
      <w:r w:rsidRPr="00294CD4">
        <w:rPr>
          <w:rFonts w:ascii="Calibri" w:hAnsi="Calibri" w:cs="Calibri"/>
          <w:lang w:val="sr-Latn-ME"/>
        </w:rPr>
        <w:t>Neke VRI imaju članove kao dio upravnog organa, druge imaju jednog ili više potpredsjednika. Za ovaj dokument, članovi i potpredsjedn</w:t>
      </w:r>
      <w:r w:rsidR="004B6DA9">
        <w:rPr>
          <w:rFonts w:ascii="Calibri" w:hAnsi="Calibri" w:cs="Calibri"/>
          <w:lang w:val="sr-Latn-ME"/>
        </w:rPr>
        <w:t xml:space="preserve">ici se posmatraju na isti način, </w:t>
      </w:r>
      <w:r w:rsidRPr="00294CD4">
        <w:rPr>
          <w:rFonts w:ascii="Calibri" w:hAnsi="Calibri" w:cs="Calibri"/>
          <w:lang w:val="sr-Latn-ME"/>
        </w:rPr>
        <w:t>jer sve ove funkcionere imenuje Skupština pod uslovima koji su propisani njihovim nacionalnim zakonima.</w:t>
      </w:r>
    </w:p>
    <w:p w14:paraId="582E879A" w14:textId="77777777" w:rsidR="00F20F73" w:rsidRPr="00294CD4" w:rsidRDefault="00F20F73" w:rsidP="00F20F73">
      <w:pPr>
        <w:rPr>
          <w:rFonts w:ascii="Calibri" w:hAnsi="Calibri" w:cs="Calibri"/>
          <w:lang w:val="sr-Latn-ME"/>
        </w:rPr>
      </w:pPr>
    </w:p>
    <w:p w14:paraId="0C1514BC" w14:textId="0E45FEC3" w:rsidR="00F20F73" w:rsidRPr="004B6DA9" w:rsidRDefault="007834C8" w:rsidP="00F20F73">
      <w:pPr>
        <w:rPr>
          <w:rFonts w:ascii="Calibri" w:hAnsi="Calibri" w:cs="Calibri"/>
          <w:u w:val="single"/>
          <w:lang w:val="sr-Latn-ME"/>
        </w:rPr>
      </w:pPr>
      <w:r w:rsidRPr="00294CD4">
        <w:rPr>
          <w:rFonts w:ascii="Calibri" w:hAnsi="Calibri" w:cs="Calibri"/>
          <w:lang w:val="sr-Latn-ME"/>
        </w:rPr>
        <w:t xml:space="preserve">Kao što je već rečeno, u EU postoji 15 VRI koje imaju kolegijalno tijelo, kao u Crnoj Gori. Dakle, kada je u pitanju dužina </w:t>
      </w:r>
      <w:r w:rsidR="004B6DA9">
        <w:rPr>
          <w:rFonts w:ascii="Calibri" w:hAnsi="Calibri" w:cs="Calibri"/>
          <w:lang w:val="sr-Latn-ME"/>
        </w:rPr>
        <w:t xml:space="preserve">trajanja </w:t>
      </w:r>
      <w:r w:rsidRPr="00294CD4">
        <w:rPr>
          <w:rFonts w:ascii="Calibri" w:hAnsi="Calibri" w:cs="Calibri"/>
          <w:lang w:val="sr-Latn-ME"/>
        </w:rPr>
        <w:t xml:space="preserve">mandata članova ovog kolegijalnog organa, zakonsko rješenje u Crnoj Gori treba uporediti sa tim. </w:t>
      </w:r>
      <w:r w:rsidRPr="00294CD4">
        <w:rPr>
          <w:rFonts w:ascii="Calibri" w:hAnsi="Calibri" w:cs="Calibri"/>
          <w:b/>
          <w:lang w:val="sr-Latn-ME"/>
        </w:rPr>
        <w:t xml:space="preserve">Od ovih 15 VRI, u šest VRI je mandat članova DRI neograničen ili ograničen samo starosnom </w:t>
      </w:r>
      <w:r w:rsidR="004B6DA9">
        <w:rPr>
          <w:rFonts w:ascii="Calibri" w:hAnsi="Calibri" w:cs="Calibri"/>
          <w:b/>
          <w:lang w:val="sr-Latn-ME"/>
        </w:rPr>
        <w:t>granicom</w:t>
      </w:r>
      <w:r w:rsidRPr="00294CD4">
        <w:rPr>
          <w:rFonts w:ascii="Calibri" w:hAnsi="Calibri" w:cs="Calibri"/>
          <w:b/>
          <w:lang w:val="sr-Latn-ME"/>
        </w:rPr>
        <w:t xml:space="preserve"> za odlazak u penziju.</w:t>
      </w:r>
      <w:r w:rsidRPr="00294CD4">
        <w:rPr>
          <w:rFonts w:ascii="Calibri" w:hAnsi="Calibri" w:cs="Calibri"/>
          <w:lang w:val="sr-Latn-ME"/>
        </w:rPr>
        <w:t xml:space="preserve"> </w:t>
      </w:r>
      <w:r w:rsidRPr="00294CD4">
        <w:rPr>
          <w:rFonts w:ascii="Calibri" w:hAnsi="Calibri" w:cs="Calibri"/>
          <w:b/>
          <w:lang w:val="sr-Latn-ME"/>
        </w:rPr>
        <w:t>Sadašnje crnogorsko rješenje stoga nije izuzetak, već je direktno uporedivo sa šest VRI u zemljama članicama EU.</w:t>
      </w:r>
      <w:r w:rsidRPr="00294CD4">
        <w:rPr>
          <w:rFonts w:ascii="Calibri" w:hAnsi="Calibri" w:cs="Calibri"/>
          <w:lang w:val="sr-Latn-ME"/>
        </w:rPr>
        <w:t xml:space="preserve"> </w:t>
      </w:r>
      <w:r w:rsidRPr="004B6DA9">
        <w:rPr>
          <w:rFonts w:ascii="Calibri" w:hAnsi="Calibri" w:cs="Calibri"/>
          <w:b/>
          <w:u w:val="single"/>
          <w:lang w:val="sr-Latn-ME"/>
        </w:rPr>
        <w:t xml:space="preserve">S tim u vezi nije korektno reći da postojeće zakonsko rješenje koje predviđa neograničen mandat senatora DRI </w:t>
      </w:r>
      <w:r w:rsidR="005661CE" w:rsidRPr="004B6DA9">
        <w:rPr>
          <w:rFonts w:ascii="Calibri" w:hAnsi="Calibri" w:cs="Calibri"/>
          <w:b/>
          <w:u w:val="single"/>
          <w:lang w:val="sr-Latn-ME"/>
        </w:rPr>
        <w:t xml:space="preserve">Crne Gore </w:t>
      </w:r>
      <w:r w:rsidRPr="004B6DA9">
        <w:rPr>
          <w:rFonts w:ascii="Calibri" w:hAnsi="Calibri" w:cs="Calibri"/>
          <w:b/>
          <w:u w:val="single"/>
          <w:lang w:val="sr-Latn-ME"/>
        </w:rPr>
        <w:t>„ne zadovoljava evropske standarde“.</w:t>
      </w:r>
    </w:p>
    <w:p w14:paraId="1FC93875" w14:textId="77777777" w:rsidR="00F20F73" w:rsidRPr="00294CD4" w:rsidRDefault="00F20F73" w:rsidP="00F20F73">
      <w:pPr>
        <w:rPr>
          <w:rFonts w:ascii="Calibri" w:hAnsi="Calibri" w:cs="Calibri"/>
          <w:lang w:val="sr-Latn-ME"/>
        </w:rPr>
      </w:pPr>
    </w:p>
    <w:p w14:paraId="058790E9" w14:textId="13E8AF19" w:rsidR="00F20F73" w:rsidRPr="004B6DA9" w:rsidRDefault="005661CE" w:rsidP="00F20F73">
      <w:pPr>
        <w:rPr>
          <w:rFonts w:ascii="Calibri" w:hAnsi="Calibri" w:cs="Calibri"/>
          <w:b/>
          <w:lang w:val="sr-Latn-ME"/>
        </w:rPr>
      </w:pPr>
      <w:r w:rsidRPr="004B6DA9">
        <w:rPr>
          <w:rFonts w:ascii="Calibri" w:hAnsi="Calibri" w:cs="Calibri"/>
          <w:b/>
          <w:lang w:val="sr-Latn-ME"/>
        </w:rPr>
        <w:t xml:space="preserve">Međutim, u devet drugih VRI, mandat članova je ograničen na tri do devet godina. Među njima, članovi većine VRI (sedam) imaju mandat od šest do devet godina, dok u manjini (dva) </w:t>
      </w:r>
      <w:r w:rsidR="004B6DA9">
        <w:rPr>
          <w:rFonts w:ascii="Calibri" w:hAnsi="Calibri" w:cs="Calibri"/>
          <w:b/>
          <w:lang w:val="sr-Latn-ME"/>
        </w:rPr>
        <w:t xml:space="preserve">VRI, </w:t>
      </w:r>
      <w:r w:rsidRPr="004B6DA9">
        <w:rPr>
          <w:rFonts w:ascii="Calibri" w:hAnsi="Calibri" w:cs="Calibri"/>
          <w:b/>
          <w:lang w:val="sr-Latn-ME"/>
        </w:rPr>
        <w:t>članovi imaju tri ili četiri godine.</w:t>
      </w:r>
    </w:p>
    <w:p w14:paraId="12175F31" w14:textId="2676E68A" w:rsidR="00F20F73" w:rsidRPr="00294CD4" w:rsidRDefault="00F20F73" w:rsidP="00475075">
      <w:pPr>
        <w:rPr>
          <w:rFonts w:ascii="Calibri" w:hAnsi="Calibri" w:cs="Calibri"/>
          <w:b/>
          <w:bCs/>
          <w:lang w:val="sr-Latn-ME"/>
        </w:rPr>
      </w:pPr>
    </w:p>
    <w:p w14:paraId="25AB9D90" w14:textId="64BDBDE2" w:rsidR="00F20F73" w:rsidRPr="00294CD4" w:rsidRDefault="00F20F73" w:rsidP="00F20F73">
      <w:pPr>
        <w:jc w:val="center"/>
        <w:rPr>
          <w:rFonts w:ascii="Calibri" w:hAnsi="Calibri" w:cs="Calibri"/>
          <w:b/>
          <w:bCs/>
          <w:lang w:val="sr-Latn-ME"/>
        </w:rPr>
      </w:pPr>
      <w:r w:rsidRPr="00294CD4">
        <w:rPr>
          <w:rFonts w:ascii="Calibri" w:hAnsi="Calibri" w:cs="Calibri"/>
          <w:b/>
          <w:bCs/>
          <w:lang w:val="sr-Latn-ME"/>
        </w:rPr>
        <w:t xml:space="preserve">15 </w:t>
      </w:r>
      <w:r w:rsidR="005661CE" w:rsidRPr="00294CD4">
        <w:rPr>
          <w:rFonts w:ascii="Calibri" w:hAnsi="Calibri" w:cs="Calibri"/>
          <w:b/>
          <w:bCs/>
          <w:lang w:val="sr-Latn-ME"/>
        </w:rPr>
        <w:t xml:space="preserve">VRI u zemljama članicama EU sa kolegijalnim organima </w:t>
      </w:r>
      <w:r w:rsidRPr="00294CD4">
        <w:rPr>
          <w:rFonts w:ascii="Calibri" w:hAnsi="Calibri" w:cs="Calibri"/>
          <w:b/>
          <w:bCs/>
          <w:lang w:val="sr-Latn-ME"/>
        </w:rPr>
        <w:t>(</w:t>
      </w:r>
      <w:r w:rsidR="005661CE" w:rsidRPr="00294CD4">
        <w:rPr>
          <w:rFonts w:ascii="Calibri" w:hAnsi="Calibri" w:cs="Calibri"/>
          <w:b/>
          <w:bCs/>
          <w:lang w:val="sr-Latn-ME"/>
        </w:rPr>
        <w:t>članovima</w:t>
      </w:r>
      <w:r w:rsidRPr="00294CD4">
        <w:rPr>
          <w:rFonts w:ascii="Calibri" w:hAnsi="Calibri" w:cs="Calibri"/>
          <w:b/>
          <w:bCs/>
          <w:lang w:val="sr-Latn-ME"/>
        </w:rPr>
        <w:t xml:space="preserve">) </w:t>
      </w:r>
    </w:p>
    <w:p w14:paraId="43C87115" w14:textId="77777777" w:rsidR="00F20F73" w:rsidRPr="00294CD4" w:rsidRDefault="00F20F73" w:rsidP="00F20F73">
      <w:pPr>
        <w:jc w:val="center"/>
        <w:rPr>
          <w:rFonts w:ascii="Calibri" w:hAnsi="Calibri" w:cs="Calibri"/>
          <w:b/>
          <w:bCs/>
          <w:lang w:val="sr-Latn-ME"/>
        </w:rPr>
      </w:pPr>
    </w:p>
    <w:tbl>
      <w:tblPr>
        <w:tblStyle w:val="TableGrid"/>
        <w:tblW w:w="0" w:type="auto"/>
        <w:tblLook w:val="04A0" w:firstRow="1" w:lastRow="0" w:firstColumn="1" w:lastColumn="0" w:noHBand="0" w:noVBand="1"/>
      </w:tblPr>
      <w:tblGrid>
        <w:gridCol w:w="2517"/>
        <w:gridCol w:w="2343"/>
        <w:gridCol w:w="2042"/>
        <w:gridCol w:w="2386"/>
      </w:tblGrid>
      <w:tr w:rsidR="00F20F73" w:rsidRPr="00294CD4" w14:paraId="34E88E8B" w14:textId="77777777" w:rsidTr="0093714F">
        <w:tc>
          <w:tcPr>
            <w:tcW w:w="2567" w:type="dxa"/>
          </w:tcPr>
          <w:p w14:paraId="7BA70F50" w14:textId="45DE77F3" w:rsidR="00F20F73" w:rsidRPr="00294CD4" w:rsidRDefault="005661CE" w:rsidP="0093714F">
            <w:pPr>
              <w:jc w:val="center"/>
              <w:rPr>
                <w:rFonts w:ascii="Calibri" w:hAnsi="Calibri" w:cs="Calibri"/>
                <w:b/>
                <w:bCs/>
                <w:lang w:val="sr-Latn-ME"/>
              </w:rPr>
            </w:pPr>
            <w:r w:rsidRPr="00294CD4">
              <w:rPr>
                <w:rFonts w:ascii="Calibri" w:hAnsi="Calibri" w:cs="Calibri"/>
                <w:b/>
                <w:bCs/>
                <w:lang w:val="sr-Latn-ME"/>
              </w:rPr>
              <w:t>Dužina trajanja mandata</w:t>
            </w:r>
          </w:p>
          <w:p w14:paraId="5303645A" w14:textId="77777777" w:rsidR="00F20F73" w:rsidRPr="00294CD4" w:rsidRDefault="00F20F73" w:rsidP="0093714F">
            <w:pPr>
              <w:jc w:val="center"/>
              <w:rPr>
                <w:rFonts w:ascii="Calibri" w:hAnsi="Calibri" w:cs="Calibri"/>
                <w:b/>
                <w:bCs/>
                <w:lang w:val="sr-Latn-ME"/>
              </w:rPr>
            </w:pPr>
          </w:p>
        </w:tc>
        <w:tc>
          <w:tcPr>
            <w:tcW w:w="2385" w:type="dxa"/>
          </w:tcPr>
          <w:p w14:paraId="442DA6F0" w14:textId="180DD6E5" w:rsidR="00F20F73" w:rsidRPr="00294CD4" w:rsidRDefault="005661CE" w:rsidP="0093714F">
            <w:pPr>
              <w:jc w:val="center"/>
              <w:rPr>
                <w:rFonts w:ascii="Calibri" w:hAnsi="Calibri" w:cs="Calibri"/>
                <w:b/>
                <w:bCs/>
                <w:lang w:val="sr-Latn-ME"/>
              </w:rPr>
            </w:pPr>
            <w:r w:rsidRPr="00294CD4">
              <w:rPr>
                <w:rFonts w:ascii="Calibri" w:hAnsi="Calibri" w:cs="Calibri"/>
                <w:b/>
                <w:bCs/>
                <w:lang w:val="sr-Latn-ME"/>
              </w:rPr>
              <w:t>Godine</w:t>
            </w:r>
          </w:p>
        </w:tc>
        <w:tc>
          <w:tcPr>
            <w:tcW w:w="2070" w:type="dxa"/>
          </w:tcPr>
          <w:p w14:paraId="266A21A7" w14:textId="6ED675D5" w:rsidR="00F20F73" w:rsidRPr="00294CD4" w:rsidRDefault="005661CE" w:rsidP="005661CE">
            <w:pPr>
              <w:jc w:val="center"/>
              <w:rPr>
                <w:rFonts w:ascii="Calibri" w:hAnsi="Calibri" w:cs="Calibri"/>
                <w:b/>
                <w:bCs/>
                <w:lang w:val="sr-Latn-ME"/>
              </w:rPr>
            </w:pPr>
            <w:r w:rsidRPr="00294CD4">
              <w:rPr>
                <w:rFonts w:ascii="Calibri" w:hAnsi="Calibri" w:cs="Calibri"/>
                <w:b/>
                <w:bCs/>
                <w:lang w:val="sr-Latn-ME"/>
              </w:rPr>
              <w:t xml:space="preserve">Reizbor </w:t>
            </w:r>
          </w:p>
        </w:tc>
        <w:tc>
          <w:tcPr>
            <w:tcW w:w="2437" w:type="dxa"/>
          </w:tcPr>
          <w:p w14:paraId="5099BCB0" w14:textId="34B23196" w:rsidR="00F20F73" w:rsidRPr="00294CD4" w:rsidRDefault="005661CE" w:rsidP="005661CE">
            <w:pPr>
              <w:jc w:val="center"/>
              <w:rPr>
                <w:rFonts w:ascii="Calibri" w:hAnsi="Calibri" w:cs="Calibri"/>
                <w:b/>
                <w:bCs/>
                <w:lang w:val="sr-Latn-ME"/>
              </w:rPr>
            </w:pPr>
            <w:r w:rsidRPr="00294CD4">
              <w:rPr>
                <w:rFonts w:ascii="Calibri" w:hAnsi="Calibri" w:cs="Calibri"/>
                <w:b/>
                <w:bCs/>
                <w:lang w:val="sr-Latn-ME"/>
              </w:rPr>
              <w:t xml:space="preserve">VRI </w:t>
            </w:r>
          </w:p>
        </w:tc>
      </w:tr>
      <w:tr w:rsidR="00F20F73" w:rsidRPr="00294CD4" w14:paraId="25DC864A" w14:textId="77777777" w:rsidTr="0093714F">
        <w:tc>
          <w:tcPr>
            <w:tcW w:w="2567" w:type="dxa"/>
          </w:tcPr>
          <w:p w14:paraId="58B145D5" w14:textId="7DE68B38" w:rsidR="00F20F73" w:rsidRPr="00294CD4" w:rsidRDefault="005661CE" w:rsidP="004B6DA9">
            <w:pPr>
              <w:rPr>
                <w:rFonts w:ascii="Calibri" w:hAnsi="Calibri" w:cs="Calibri"/>
                <w:lang w:val="sr-Latn-ME"/>
              </w:rPr>
            </w:pPr>
            <w:r w:rsidRPr="00294CD4">
              <w:rPr>
                <w:rFonts w:ascii="Calibri" w:hAnsi="Calibri" w:cs="Calibri"/>
                <w:lang w:val="sr-Latn-ME"/>
              </w:rPr>
              <w:t xml:space="preserve">neograničeno </w:t>
            </w:r>
            <w:r w:rsidR="00F20F73" w:rsidRPr="00294CD4">
              <w:rPr>
                <w:rFonts w:ascii="Calibri" w:hAnsi="Calibri" w:cs="Calibri"/>
                <w:lang w:val="sr-Latn-ME"/>
              </w:rPr>
              <w:t>/</w:t>
            </w:r>
            <w:r w:rsidRPr="00294CD4">
              <w:rPr>
                <w:rFonts w:ascii="Calibri" w:hAnsi="Calibri" w:cs="Calibri"/>
                <w:lang w:val="sr-Latn-ME"/>
              </w:rPr>
              <w:t xml:space="preserve">samo ograničeno starosnom </w:t>
            </w:r>
            <w:r w:rsidR="004B6DA9">
              <w:rPr>
                <w:rFonts w:ascii="Calibri" w:hAnsi="Calibri" w:cs="Calibri"/>
                <w:lang w:val="sr-Latn-ME"/>
              </w:rPr>
              <w:t>granicom</w:t>
            </w:r>
            <w:r w:rsidRPr="00294CD4">
              <w:rPr>
                <w:rFonts w:ascii="Calibri" w:hAnsi="Calibri" w:cs="Calibri"/>
                <w:lang w:val="sr-Latn-ME"/>
              </w:rPr>
              <w:t xml:space="preserve"> za penziju </w:t>
            </w:r>
          </w:p>
        </w:tc>
        <w:tc>
          <w:tcPr>
            <w:tcW w:w="2385" w:type="dxa"/>
          </w:tcPr>
          <w:p w14:paraId="23D0E654" w14:textId="09EB7320" w:rsidR="00F20F73" w:rsidRPr="00294CD4" w:rsidRDefault="005661CE" w:rsidP="0093714F">
            <w:pPr>
              <w:rPr>
                <w:rFonts w:ascii="Calibri" w:hAnsi="Calibri" w:cs="Calibri"/>
                <w:lang w:val="sr-Latn-ME"/>
              </w:rPr>
            </w:pPr>
            <w:r w:rsidRPr="00294CD4">
              <w:rPr>
                <w:rFonts w:ascii="Calibri" w:hAnsi="Calibri" w:cs="Calibri"/>
                <w:lang w:val="sr-Latn-ME"/>
              </w:rPr>
              <w:t>neograničeno</w:t>
            </w:r>
          </w:p>
        </w:tc>
        <w:tc>
          <w:tcPr>
            <w:tcW w:w="2070" w:type="dxa"/>
          </w:tcPr>
          <w:p w14:paraId="2020F836" w14:textId="62B0D584" w:rsidR="00F20F73" w:rsidRPr="00294CD4" w:rsidRDefault="005661CE" w:rsidP="0093714F">
            <w:pPr>
              <w:rPr>
                <w:rFonts w:ascii="Calibri" w:hAnsi="Calibri" w:cs="Calibri"/>
                <w:lang w:val="sr-Latn-ME"/>
              </w:rPr>
            </w:pPr>
            <w:r w:rsidRPr="00294CD4">
              <w:rPr>
                <w:rFonts w:ascii="Calibri" w:hAnsi="Calibri" w:cs="Calibri"/>
                <w:lang w:val="sr-Latn-ME"/>
              </w:rPr>
              <w:t>neograničeno</w:t>
            </w:r>
          </w:p>
        </w:tc>
        <w:tc>
          <w:tcPr>
            <w:tcW w:w="2437" w:type="dxa"/>
          </w:tcPr>
          <w:p w14:paraId="2BDF0556" w14:textId="08CBFEA4" w:rsidR="00F20F73" w:rsidRPr="00294CD4" w:rsidRDefault="00475075" w:rsidP="00475075">
            <w:pPr>
              <w:rPr>
                <w:rFonts w:ascii="Calibri" w:hAnsi="Calibri" w:cs="Calibri"/>
                <w:lang w:val="sr-Latn-ME"/>
              </w:rPr>
            </w:pPr>
            <w:r>
              <w:rPr>
                <w:rFonts w:ascii="Calibri" w:hAnsi="Calibri" w:cs="Calibri"/>
                <w:lang w:val="sr-Latn-ME"/>
              </w:rPr>
              <w:t>Republika Češka</w:t>
            </w:r>
            <w:r w:rsidR="00F20F73" w:rsidRPr="00294CD4">
              <w:rPr>
                <w:rFonts w:ascii="Calibri" w:hAnsi="Calibri" w:cs="Calibri"/>
                <w:lang w:val="sr-Latn-ME"/>
              </w:rPr>
              <w:t>, Franc</w:t>
            </w:r>
            <w:r>
              <w:rPr>
                <w:rFonts w:ascii="Calibri" w:hAnsi="Calibri" w:cs="Calibri"/>
                <w:lang w:val="sr-Latn-ME"/>
              </w:rPr>
              <w:t>uska</w:t>
            </w:r>
            <w:r w:rsidR="00F20F73" w:rsidRPr="00294CD4">
              <w:rPr>
                <w:rFonts w:ascii="Calibri" w:hAnsi="Calibri" w:cs="Calibri"/>
                <w:lang w:val="sr-Latn-ME"/>
              </w:rPr>
              <w:t xml:space="preserve">, </w:t>
            </w:r>
            <w:r>
              <w:rPr>
                <w:rFonts w:ascii="Calibri" w:hAnsi="Calibri" w:cs="Calibri"/>
                <w:lang w:val="sr-Latn-ME"/>
              </w:rPr>
              <w:t>Njemačka</w:t>
            </w:r>
            <w:r w:rsidR="00F20F73" w:rsidRPr="00294CD4">
              <w:rPr>
                <w:rFonts w:ascii="Calibri" w:hAnsi="Calibri" w:cs="Calibri"/>
                <w:lang w:val="sr-Latn-ME"/>
              </w:rPr>
              <w:t>, Gr</w:t>
            </w:r>
            <w:r>
              <w:rPr>
                <w:rFonts w:ascii="Calibri" w:hAnsi="Calibri" w:cs="Calibri"/>
                <w:lang w:val="sr-Latn-ME"/>
              </w:rPr>
              <w:t xml:space="preserve">čka, Holandija, </w:t>
            </w:r>
            <w:r w:rsidR="00F20F73" w:rsidRPr="00294CD4">
              <w:rPr>
                <w:rFonts w:ascii="Calibri" w:hAnsi="Calibri" w:cs="Calibri"/>
                <w:lang w:val="sr-Latn-ME"/>
              </w:rPr>
              <w:t>Portugal</w:t>
            </w:r>
          </w:p>
        </w:tc>
      </w:tr>
      <w:tr w:rsidR="00F20F73" w:rsidRPr="00294CD4" w14:paraId="609DD32D" w14:textId="77777777" w:rsidTr="0093714F">
        <w:tc>
          <w:tcPr>
            <w:tcW w:w="2567" w:type="dxa"/>
          </w:tcPr>
          <w:p w14:paraId="18189AC1" w14:textId="6905746F" w:rsidR="00F20F73" w:rsidRPr="00294CD4" w:rsidRDefault="005661CE" w:rsidP="0093714F">
            <w:pPr>
              <w:rPr>
                <w:rFonts w:ascii="Calibri" w:hAnsi="Calibri" w:cs="Calibri"/>
                <w:lang w:val="sr-Latn-ME"/>
              </w:rPr>
            </w:pPr>
            <w:r w:rsidRPr="00294CD4">
              <w:rPr>
                <w:rFonts w:ascii="Calibri" w:hAnsi="Calibri" w:cs="Calibri"/>
                <w:lang w:val="sr-Latn-ME"/>
              </w:rPr>
              <w:t>ograničeno</w:t>
            </w:r>
          </w:p>
        </w:tc>
        <w:tc>
          <w:tcPr>
            <w:tcW w:w="2385" w:type="dxa"/>
          </w:tcPr>
          <w:p w14:paraId="02F597BD" w14:textId="77777777" w:rsidR="00F20F73" w:rsidRPr="00294CD4" w:rsidRDefault="00F20F73" w:rsidP="0093714F">
            <w:pPr>
              <w:rPr>
                <w:rFonts w:ascii="Calibri" w:hAnsi="Calibri" w:cs="Calibri"/>
                <w:lang w:val="sr-Latn-ME"/>
              </w:rPr>
            </w:pPr>
            <w:r w:rsidRPr="00294CD4">
              <w:rPr>
                <w:rFonts w:ascii="Calibri" w:hAnsi="Calibri" w:cs="Calibri"/>
                <w:lang w:val="sr-Latn-ME"/>
              </w:rPr>
              <w:t>3</w:t>
            </w:r>
          </w:p>
        </w:tc>
        <w:tc>
          <w:tcPr>
            <w:tcW w:w="2070" w:type="dxa"/>
          </w:tcPr>
          <w:p w14:paraId="22CAD4ED" w14:textId="39BBACDB" w:rsidR="00F20F73" w:rsidRPr="00294CD4" w:rsidRDefault="005661CE" w:rsidP="005661CE">
            <w:pPr>
              <w:rPr>
                <w:rFonts w:ascii="Calibri" w:hAnsi="Calibri" w:cs="Calibri"/>
                <w:lang w:val="sr-Latn-ME"/>
              </w:rPr>
            </w:pPr>
            <w:r w:rsidRPr="00294CD4">
              <w:rPr>
                <w:rFonts w:ascii="Calibri" w:hAnsi="Calibri" w:cs="Calibri"/>
                <w:lang w:val="sr-Latn-ME"/>
              </w:rPr>
              <w:t>DA</w:t>
            </w:r>
          </w:p>
        </w:tc>
        <w:tc>
          <w:tcPr>
            <w:tcW w:w="2437" w:type="dxa"/>
          </w:tcPr>
          <w:p w14:paraId="5A574278" w14:textId="19F8EAB4" w:rsidR="00F20F73" w:rsidRPr="00294CD4" w:rsidRDefault="00475075" w:rsidP="0093714F">
            <w:pPr>
              <w:rPr>
                <w:rFonts w:ascii="Calibri" w:hAnsi="Calibri" w:cs="Calibri"/>
                <w:lang w:val="sr-Latn-ME"/>
              </w:rPr>
            </w:pPr>
            <w:r>
              <w:rPr>
                <w:rFonts w:ascii="Calibri" w:hAnsi="Calibri" w:cs="Calibri"/>
                <w:lang w:val="sr-Latn-ME"/>
              </w:rPr>
              <w:t>Poljska</w:t>
            </w:r>
          </w:p>
        </w:tc>
      </w:tr>
      <w:tr w:rsidR="00F20F73" w:rsidRPr="00294CD4" w14:paraId="04359418" w14:textId="77777777" w:rsidTr="0093714F">
        <w:tc>
          <w:tcPr>
            <w:tcW w:w="2567" w:type="dxa"/>
          </w:tcPr>
          <w:p w14:paraId="21BB6088" w14:textId="48BB87FA" w:rsidR="00F20F73" w:rsidRPr="00294CD4" w:rsidRDefault="005661CE" w:rsidP="0093714F">
            <w:pPr>
              <w:rPr>
                <w:rFonts w:ascii="Calibri" w:hAnsi="Calibri" w:cs="Calibri"/>
                <w:b/>
                <w:lang w:val="sr-Latn-ME"/>
              </w:rPr>
            </w:pPr>
            <w:r w:rsidRPr="00294CD4">
              <w:rPr>
                <w:rFonts w:ascii="Calibri" w:hAnsi="Calibri" w:cs="Calibri"/>
                <w:lang w:val="sr-Latn-ME"/>
              </w:rPr>
              <w:t>ograničeno</w:t>
            </w:r>
          </w:p>
        </w:tc>
        <w:tc>
          <w:tcPr>
            <w:tcW w:w="2385" w:type="dxa"/>
          </w:tcPr>
          <w:p w14:paraId="2C730C90" w14:textId="77777777" w:rsidR="00F20F73" w:rsidRPr="00294CD4" w:rsidRDefault="00F20F73" w:rsidP="0093714F">
            <w:pPr>
              <w:rPr>
                <w:rFonts w:ascii="Calibri" w:hAnsi="Calibri" w:cs="Calibri"/>
                <w:lang w:val="sr-Latn-ME"/>
              </w:rPr>
            </w:pPr>
            <w:r w:rsidRPr="00294CD4">
              <w:rPr>
                <w:rFonts w:ascii="Calibri" w:hAnsi="Calibri" w:cs="Calibri"/>
                <w:lang w:val="sr-Latn-ME"/>
              </w:rPr>
              <w:t>4</w:t>
            </w:r>
          </w:p>
        </w:tc>
        <w:tc>
          <w:tcPr>
            <w:tcW w:w="2070" w:type="dxa"/>
          </w:tcPr>
          <w:p w14:paraId="54B5AAE8" w14:textId="2D1292FB" w:rsidR="00F20F73" w:rsidRPr="00294CD4" w:rsidRDefault="005661CE" w:rsidP="005661CE">
            <w:pPr>
              <w:rPr>
                <w:rFonts w:ascii="Calibri" w:hAnsi="Calibri" w:cs="Calibri"/>
                <w:lang w:val="sr-Latn-ME"/>
              </w:rPr>
            </w:pPr>
            <w:r w:rsidRPr="00294CD4">
              <w:rPr>
                <w:rFonts w:ascii="Calibri" w:hAnsi="Calibri" w:cs="Calibri"/>
                <w:lang w:val="sr-Latn-ME"/>
              </w:rPr>
              <w:t>da</w:t>
            </w:r>
            <w:r w:rsidR="00F20F73" w:rsidRPr="00294CD4">
              <w:rPr>
                <w:rFonts w:ascii="Calibri" w:hAnsi="Calibri" w:cs="Calibri"/>
                <w:lang w:val="sr-Latn-ME"/>
              </w:rPr>
              <w:t>, ma</w:t>
            </w:r>
            <w:r w:rsidRPr="00294CD4">
              <w:rPr>
                <w:rFonts w:ascii="Calibri" w:hAnsi="Calibri" w:cs="Calibri"/>
                <w:lang w:val="sr-Latn-ME"/>
              </w:rPr>
              <w:t xml:space="preserve">ksimum dva mandata </w:t>
            </w:r>
          </w:p>
        </w:tc>
        <w:tc>
          <w:tcPr>
            <w:tcW w:w="2437" w:type="dxa"/>
          </w:tcPr>
          <w:p w14:paraId="586A61C4" w14:textId="0106C573" w:rsidR="00F20F73" w:rsidRPr="00294CD4" w:rsidRDefault="00475075" w:rsidP="0093714F">
            <w:pPr>
              <w:rPr>
                <w:rFonts w:ascii="Calibri" w:hAnsi="Calibri" w:cs="Calibri"/>
                <w:lang w:val="sr-Latn-ME"/>
              </w:rPr>
            </w:pPr>
            <w:r>
              <w:rPr>
                <w:rFonts w:ascii="Calibri" w:hAnsi="Calibri" w:cs="Calibri"/>
                <w:lang w:val="sr-Latn-ME"/>
              </w:rPr>
              <w:t>Letonija</w:t>
            </w:r>
          </w:p>
        </w:tc>
      </w:tr>
      <w:tr w:rsidR="00F20F73" w:rsidRPr="00294CD4" w14:paraId="74331EAB" w14:textId="77777777" w:rsidTr="0093714F">
        <w:tc>
          <w:tcPr>
            <w:tcW w:w="2567" w:type="dxa"/>
          </w:tcPr>
          <w:p w14:paraId="167F01D0" w14:textId="54CA5C75" w:rsidR="00F20F73" w:rsidRPr="00294CD4" w:rsidRDefault="005661CE" w:rsidP="0093714F">
            <w:pPr>
              <w:rPr>
                <w:rFonts w:ascii="Calibri" w:hAnsi="Calibri" w:cs="Calibri"/>
                <w:lang w:val="sr-Latn-ME"/>
              </w:rPr>
            </w:pPr>
            <w:r w:rsidRPr="00294CD4">
              <w:rPr>
                <w:rFonts w:ascii="Calibri" w:hAnsi="Calibri" w:cs="Calibri"/>
                <w:lang w:val="sr-Latn-ME"/>
              </w:rPr>
              <w:t>ograničeno</w:t>
            </w:r>
          </w:p>
        </w:tc>
        <w:tc>
          <w:tcPr>
            <w:tcW w:w="2385" w:type="dxa"/>
          </w:tcPr>
          <w:p w14:paraId="217538AB" w14:textId="77777777" w:rsidR="00F20F73" w:rsidRPr="00294CD4" w:rsidRDefault="00F20F73" w:rsidP="0093714F">
            <w:pPr>
              <w:rPr>
                <w:rFonts w:ascii="Calibri" w:hAnsi="Calibri" w:cs="Calibri"/>
                <w:lang w:val="sr-Latn-ME"/>
              </w:rPr>
            </w:pPr>
            <w:r w:rsidRPr="00294CD4">
              <w:rPr>
                <w:rFonts w:ascii="Calibri" w:hAnsi="Calibri" w:cs="Calibri"/>
                <w:lang w:val="sr-Latn-ME"/>
              </w:rPr>
              <w:t>6</w:t>
            </w:r>
          </w:p>
        </w:tc>
        <w:tc>
          <w:tcPr>
            <w:tcW w:w="2070" w:type="dxa"/>
          </w:tcPr>
          <w:p w14:paraId="290BC320" w14:textId="55A4F913" w:rsidR="00F20F73" w:rsidRPr="00294CD4" w:rsidRDefault="005661CE" w:rsidP="0093714F">
            <w:pPr>
              <w:rPr>
                <w:rFonts w:ascii="Calibri" w:hAnsi="Calibri" w:cs="Calibri"/>
                <w:lang w:val="sr-Latn-ME"/>
              </w:rPr>
            </w:pPr>
            <w:r w:rsidRPr="00294CD4">
              <w:rPr>
                <w:rFonts w:ascii="Calibri" w:hAnsi="Calibri" w:cs="Calibri"/>
                <w:lang w:val="sr-Latn-ME"/>
              </w:rPr>
              <w:t>DA</w:t>
            </w:r>
          </w:p>
        </w:tc>
        <w:tc>
          <w:tcPr>
            <w:tcW w:w="2437" w:type="dxa"/>
          </w:tcPr>
          <w:p w14:paraId="434975A5" w14:textId="1CB9B27E" w:rsidR="00F20F73" w:rsidRPr="00294CD4" w:rsidRDefault="00F20F73" w:rsidP="00475075">
            <w:pPr>
              <w:rPr>
                <w:rFonts w:ascii="Calibri" w:hAnsi="Calibri" w:cs="Calibri"/>
                <w:lang w:val="sr-Latn-ME"/>
              </w:rPr>
            </w:pPr>
            <w:r w:rsidRPr="00294CD4">
              <w:rPr>
                <w:rFonts w:ascii="Calibri" w:hAnsi="Calibri" w:cs="Calibri"/>
                <w:lang w:val="sr-Latn-ME"/>
              </w:rPr>
              <w:t>E</w:t>
            </w:r>
            <w:r w:rsidR="00475075">
              <w:rPr>
                <w:rFonts w:ascii="Calibri" w:hAnsi="Calibri" w:cs="Calibri"/>
                <w:lang w:val="sr-Latn-ME"/>
              </w:rPr>
              <w:t>vropski revizorski sud</w:t>
            </w:r>
          </w:p>
        </w:tc>
      </w:tr>
      <w:tr w:rsidR="00F20F73" w:rsidRPr="00294CD4" w14:paraId="372C3238" w14:textId="77777777" w:rsidTr="0093714F">
        <w:tc>
          <w:tcPr>
            <w:tcW w:w="2567" w:type="dxa"/>
          </w:tcPr>
          <w:p w14:paraId="682C7D41" w14:textId="77777777" w:rsidR="00F20F73" w:rsidRPr="00294CD4" w:rsidRDefault="00F20F73" w:rsidP="0093714F">
            <w:pPr>
              <w:rPr>
                <w:rFonts w:ascii="Calibri" w:hAnsi="Calibri" w:cs="Calibri"/>
                <w:lang w:val="sr-Latn-ME"/>
              </w:rPr>
            </w:pPr>
          </w:p>
        </w:tc>
        <w:tc>
          <w:tcPr>
            <w:tcW w:w="2385" w:type="dxa"/>
          </w:tcPr>
          <w:p w14:paraId="0DCE1FA0" w14:textId="77777777" w:rsidR="00F20F73" w:rsidRPr="00294CD4" w:rsidRDefault="00F20F73" w:rsidP="0093714F">
            <w:pPr>
              <w:rPr>
                <w:rFonts w:ascii="Calibri" w:hAnsi="Calibri" w:cs="Calibri"/>
                <w:lang w:val="sr-Latn-ME"/>
              </w:rPr>
            </w:pPr>
            <w:r w:rsidRPr="00294CD4">
              <w:rPr>
                <w:rFonts w:ascii="Calibri" w:hAnsi="Calibri" w:cs="Calibri"/>
                <w:lang w:val="sr-Latn-ME"/>
              </w:rPr>
              <w:t>6</w:t>
            </w:r>
          </w:p>
        </w:tc>
        <w:tc>
          <w:tcPr>
            <w:tcW w:w="2070" w:type="dxa"/>
          </w:tcPr>
          <w:p w14:paraId="379FFE04" w14:textId="0C2B071C" w:rsidR="00F20F73" w:rsidRPr="00294CD4" w:rsidRDefault="005661CE" w:rsidP="0093714F">
            <w:pPr>
              <w:rPr>
                <w:rFonts w:ascii="Calibri" w:hAnsi="Calibri" w:cs="Calibri"/>
                <w:lang w:val="sr-Latn-ME"/>
              </w:rPr>
            </w:pPr>
            <w:r w:rsidRPr="00294CD4">
              <w:rPr>
                <w:rFonts w:ascii="Calibri" w:hAnsi="Calibri" w:cs="Calibri"/>
                <w:lang w:val="sr-Latn-ME"/>
              </w:rPr>
              <w:t>DA</w:t>
            </w:r>
          </w:p>
        </w:tc>
        <w:tc>
          <w:tcPr>
            <w:tcW w:w="2437" w:type="dxa"/>
          </w:tcPr>
          <w:p w14:paraId="0FE09E79" w14:textId="2D3D9B03" w:rsidR="00F20F73" w:rsidRPr="00294CD4" w:rsidRDefault="00475075" w:rsidP="0093714F">
            <w:pPr>
              <w:rPr>
                <w:rFonts w:ascii="Calibri" w:hAnsi="Calibri" w:cs="Calibri"/>
                <w:lang w:val="sr-Latn-ME"/>
              </w:rPr>
            </w:pPr>
            <w:r>
              <w:rPr>
                <w:rFonts w:ascii="Calibri" w:hAnsi="Calibri" w:cs="Calibri"/>
                <w:lang w:val="sr-Latn-ME"/>
              </w:rPr>
              <w:t>Belgija</w:t>
            </w:r>
          </w:p>
        </w:tc>
      </w:tr>
      <w:tr w:rsidR="00F20F73" w:rsidRPr="00294CD4" w14:paraId="38445946" w14:textId="77777777" w:rsidTr="0093714F">
        <w:tc>
          <w:tcPr>
            <w:tcW w:w="2567" w:type="dxa"/>
          </w:tcPr>
          <w:p w14:paraId="358F52E7" w14:textId="77777777" w:rsidR="00F20F73" w:rsidRPr="00294CD4" w:rsidRDefault="00F20F73" w:rsidP="0093714F">
            <w:pPr>
              <w:rPr>
                <w:rFonts w:ascii="Calibri" w:hAnsi="Calibri" w:cs="Calibri"/>
                <w:lang w:val="sr-Latn-ME"/>
              </w:rPr>
            </w:pPr>
          </w:p>
        </w:tc>
        <w:tc>
          <w:tcPr>
            <w:tcW w:w="2385" w:type="dxa"/>
          </w:tcPr>
          <w:p w14:paraId="566C4979" w14:textId="77777777" w:rsidR="00F20F73" w:rsidRPr="00294CD4" w:rsidRDefault="00F20F73" w:rsidP="0093714F">
            <w:pPr>
              <w:rPr>
                <w:rFonts w:ascii="Calibri" w:hAnsi="Calibri" w:cs="Calibri"/>
                <w:lang w:val="sr-Latn-ME"/>
              </w:rPr>
            </w:pPr>
            <w:r w:rsidRPr="00294CD4">
              <w:rPr>
                <w:rFonts w:ascii="Calibri" w:hAnsi="Calibri" w:cs="Calibri"/>
                <w:lang w:val="sr-Latn-ME"/>
              </w:rPr>
              <w:t>6</w:t>
            </w:r>
          </w:p>
        </w:tc>
        <w:tc>
          <w:tcPr>
            <w:tcW w:w="2070" w:type="dxa"/>
          </w:tcPr>
          <w:p w14:paraId="134B93D5" w14:textId="2B40D02F" w:rsidR="00F20F73" w:rsidRPr="00294CD4" w:rsidRDefault="005661CE" w:rsidP="0093714F">
            <w:pPr>
              <w:rPr>
                <w:rFonts w:ascii="Calibri" w:hAnsi="Calibri" w:cs="Calibri"/>
                <w:lang w:val="sr-Latn-ME"/>
              </w:rPr>
            </w:pPr>
            <w:r w:rsidRPr="00294CD4">
              <w:rPr>
                <w:rFonts w:ascii="Calibri" w:hAnsi="Calibri" w:cs="Calibri"/>
                <w:lang w:val="sr-Latn-ME"/>
              </w:rPr>
              <w:t>DA</w:t>
            </w:r>
          </w:p>
        </w:tc>
        <w:tc>
          <w:tcPr>
            <w:tcW w:w="2437" w:type="dxa"/>
          </w:tcPr>
          <w:p w14:paraId="557302EE" w14:textId="5F7C6809" w:rsidR="00F20F73" w:rsidRPr="00294CD4" w:rsidRDefault="00475075" w:rsidP="0093714F">
            <w:pPr>
              <w:rPr>
                <w:rFonts w:ascii="Calibri" w:hAnsi="Calibri" w:cs="Calibri"/>
                <w:lang w:val="sr-Latn-ME"/>
              </w:rPr>
            </w:pPr>
            <w:r>
              <w:rPr>
                <w:rFonts w:ascii="Calibri" w:hAnsi="Calibri" w:cs="Calibri"/>
                <w:lang w:val="sr-Latn-ME"/>
              </w:rPr>
              <w:t>Luksemburg</w:t>
            </w:r>
          </w:p>
        </w:tc>
      </w:tr>
      <w:tr w:rsidR="00F20F73" w:rsidRPr="00294CD4" w14:paraId="476E449C" w14:textId="77777777" w:rsidTr="0093714F">
        <w:tc>
          <w:tcPr>
            <w:tcW w:w="2567" w:type="dxa"/>
          </w:tcPr>
          <w:p w14:paraId="3121B317" w14:textId="502FB5A7" w:rsidR="00F20F73" w:rsidRPr="00294CD4" w:rsidRDefault="005661CE" w:rsidP="0093714F">
            <w:pPr>
              <w:rPr>
                <w:rFonts w:ascii="Calibri" w:hAnsi="Calibri" w:cs="Calibri"/>
                <w:lang w:val="sr-Latn-ME"/>
              </w:rPr>
            </w:pPr>
            <w:r w:rsidRPr="00294CD4">
              <w:rPr>
                <w:rFonts w:ascii="Calibri" w:hAnsi="Calibri" w:cs="Calibri"/>
                <w:lang w:val="sr-Latn-ME"/>
              </w:rPr>
              <w:t>ograničeno</w:t>
            </w:r>
          </w:p>
        </w:tc>
        <w:tc>
          <w:tcPr>
            <w:tcW w:w="2385" w:type="dxa"/>
          </w:tcPr>
          <w:p w14:paraId="74E038F7" w14:textId="77777777" w:rsidR="00F20F73" w:rsidRPr="00294CD4" w:rsidRDefault="00F20F73" w:rsidP="0093714F">
            <w:pPr>
              <w:rPr>
                <w:rFonts w:ascii="Calibri" w:hAnsi="Calibri" w:cs="Calibri"/>
                <w:lang w:val="sr-Latn-ME"/>
              </w:rPr>
            </w:pPr>
            <w:r w:rsidRPr="00294CD4">
              <w:rPr>
                <w:rFonts w:ascii="Calibri" w:hAnsi="Calibri" w:cs="Calibri"/>
                <w:lang w:val="sr-Latn-ME"/>
              </w:rPr>
              <w:t>7</w:t>
            </w:r>
          </w:p>
        </w:tc>
        <w:tc>
          <w:tcPr>
            <w:tcW w:w="2070" w:type="dxa"/>
          </w:tcPr>
          <w:p w14:paraId="58F66419" w14:textId="2C5344B0" w:rsidR="00F20F73" w:rsidRPr="00294CD4" w:rsidRDefault="005661CE" w:rsidP="0093714F">
            <w:pPr>
              <w:rPr>
                <w:rFonts w:ascii="Calibri" w:hAnsi="Calibri" w:cs="Calibri"/>
                <w:lang w:val="sr-Latn-ME"/>
              </w:rPr>
            </w:pPr>
            <w:r w:rsidRPr="00294CD4">
              <w:rPr>
                <w:rFonts w:ascii="Calibri" w:hAnsi="Calibri" w:cs="Calibri"/>
                <w:lang w:val="sr-Latn-ME"/>
              </w:rPr>
              <w:t>DA</w:t>
            </w:r>
          </w:p>
        </w:tc>
        <w:tc>
          <w:tcPr>
            <w:tcW w:w="2437" w:type="dxa"/>
          </w:tcPr>
          <w:p w14:paraId="7F6B0365" w14:textId="604C8938" w:rsidR="00F20F73" w:rsidRPr="00294CD4" w:rsidRDefault="00475075" w:rsidP="0093714F">
            <w:pPr>
              <w:rPr>
                <w:rFonts w:ascii="Calibri" w:hAnsi="Calibri" w:cs="Calibri"/>
                <w:lang w:val="sr-Latn-ME"/>
              </w:rPr>
            </w:pPr>
            <w:r>
              <w:rPr>
                <w:rFonts w:ascii="Calibri" w:hAnsi="Calibri" w:cs="Calibri"/>
                <w:lang w:val="sr-Latn-ME"/>
              </w:rPr>
              <w:t>Bugarska</w:t>
            </w:r>
          </w:p>
        </w:tc>
      </w:tr>
      <w:tr w:rsidR="00F20F73" w:rsidRPr="00294CD4" w14:paraId="4A7F9C26" w14:textId="77777777" w:rsidTr="0093714F">
        <w:tc>
          <w:tcPr>
            <w:tcW w:w="2567" w:type="dxa"/>
          </w:tcPr>
          <w:p w14:paraId="6C4AE584" w14:textId="2B5C77A2" w:rsidR="00F20F73" w:rsidRPr="00294CD4" w:rsidRDefault="005661CE" w:rsidP="0093714F">
            <w:pPr>
              <w:rPr>
                <w:rFonts w:ascii="Calibri" w:hAnsi="Calibri" w:cs="Calibri"/>
                <w:lang w:val="sr-Latn-ME"/>
              </w:rPr>
            </w:pPr>
            <w:r w:rsidRPr="00294CD4">
              <w:rPr>
                <w:rFonts w:ascii="Calibri" w:hAnsi="Calibri" w:cs="Calibri"/>
                <w:lang w:val="sr-Latn-ME"/>
              </w:rPr>
              <w:t>ograničeno</w:t>
            </w:r>
          </w:p>
        </w:tc>
        <w:tc>
          <w:tcPr>
            <w:tcW w:w="2385" w:type="dxa"/>
          </w:tcPr>
          <w:p w14:paraId="1053F8C9" w14:textId="77777777" w:rsidR="00F20F73" w:rsidRPr="00294CD4" w:rsidRDefault="00F20F73" w:rsidP="0093714F">
            <w:pPr>
              <w:rPr>
                <w:rFonts w:ascii="Calibri" w:hAnsi="Calibri" w:cs="Calibri"/>
                <w:lang w:val="sr-Latn-ME"/>
              </w:rPr>
            </w:pPr>
            <w:r w:rsidRPr="00294CD4">
              <w:rPr>
                <w:rFonts w:ascii="Calibri" w:hAnsi="Calibri" w:cs="Calibri"/>
                <w:lang w:val="sr-Latn-ME"/>
              </w:rPr>
              <w:t>9</w:t>
            </w:r>
          </w:p>
        </w:tc>
        <w:tc>
          <w:tcPr>
            <w:tcW w:w="2070" w:type="dxa"/>
          </w:tcPr>
          <w:p w14:paraId="007BE601" w14:textId="1ED0C8FA" w:rsidR="00F20F73" w:rsidRPr="00294CD4" w:rsidRDefault="00475075" w:rsidP="0093714F">
            <w:pPr>
              <w:rPr>
                <w:rFonts w:ascii="Calibri" w:hAnsi="Calibri" w:cs="Calibri"/>
                <w:lang w:val="sr-Latn-ME"/>
              </w:rPr>
            </w:pPr>
            <w:r>
              <w:rPr>
                <w:rFonts w:ascii="Calibri" w:hAnsi="Calibri" w:cs="Calibri"/>
                <w:lang w:val="sr-Latn-ME"/>
              </w:rPr>
              <w:t>NE</w:t>
            </w:r>
          </w:p>
        </w:tc>
        <w:tc>
          <w:tcPr>
            <w:tcW w:w="2437" w:type="dxa"/>
          </w:tcPr>
          <w:p w14:paraId="2C336392" w14:textId="120B2A94" w:rsidR="00F20F73" w:rsidRPr="00294CD4" w:rsidRDefault="00475075" w:rsidP="0093714F">
            <w:pPr>
              <w:rPr>
                <w:rFonts w:ascii="Calibri" w:hAnsi="Calibri" w:cs="Calibri"/>
                <w:lang w:val="sr-Latn-ME"/>
              </w:rPr>
            </w:pPr>
            <w:r>
              <w:rPr>
                <w:rFonts w:ascii="Calibri" w:hAnsi="Calibri" w:cs="Calibri"/>
                <w:lang w:val="sr-Latn-ME"/>
              </w:rPr>
              <w:t>Rumunija</w:t>
            </w:r>
          </w:p>
        </w:tc>
      </w:tr>
      <w:tr w:rsidR="00F20F73" w:rsidRPr="00294CD4" w14:paraId="58160E7A" w14:textId="77777777" w:rsidTr="0093714F">
        <w:tc>
          <w:tcPr>
            <w:tcW w:w="2567" w:type="dxa"/>
          </w:tcPr>
          <w:p w14:paraId="1C96476B" w14:textId="77777777" w:rsidR="00F20F73" w:rsidRPr="00294CD4" w:rsidRDefault="00F20F73" w:rsidP="0093714F">
            <w:pPr>
              <w:rPr>
                <w:rFonts w:ascii="Calibri" w:hAnsi="Calibri" w:cs="Calibri"/>
                <w:lang w:val="sr-Latn-ME"/>
              </w:rPr>
            </w:pPr>
          </w:p>
        </w:tc>
        <w:tc>
          <w:tcPr>
            <w:tcW w:w="2385" w:type="dxa"/>
          </w:tcPr>
          <w:p w14:paraId="4C3E9B5A" w14:textId="77777777" w:rsidR="00F20F73" w:rsidRPr="00294CD4" w:rsidRDefault="00F20F73" w:rsidP="0093714F">
            <w:pPr>
              <w:rPr>
                <w:rFonts w:ascii="Calibri" w:hAnsi="Calibri" w:cs="Calibri"/>
                <w:lang w:val="sr-Latn-ME"/>
              </w:rPr>
            </w:pPr>
            <w:r w:rsidRPr="00294CD4">
              <w:rPr>
                <w:rFonts w:ascii="Calibri" w:hAnsi="Calibri" w:cs="Calibri"/>
                <w:lang w:val="sr-Latn-ME"/>
              </w:rPr>
              <w:t>9</w:t>
            </w:r>
          </w:p>
        </w:tc>
        <w:tc>
          <w:tcPr>
            <w:tcW w:w="2070" w:type="dxa"/>
          </w:tcPr>
          <w:p w14:paraId="18DAB07A" w14:textId="7E729467" w:rsidR="00F20F73" w:rsidRPr="00294CD4" w:rsidRDefault="005661CE" w:rsidP="0093714F">
            <w:pPr>
              <w:rPr>
                <w:rFonts w:ascii="Calibri" w:hAnsi="Calibri" w:cs="Calibri"/>
                <w:lang w:val="sr-Latn-ME"/>
              </w:rPr>
            </w:pPr>
            <w:r w:rsidRPr="00294CD4">
              <w:rPr>
                <w:rFonts w:ascii="Calibri" w:hAnsi="Calibri" w:cs="Calibri"/>
                <w:lang w:val="sr-Latn-ME"/>
              </w:rPr>
              <w:t>DA</w:t>
            </w:r>
          </w:p>
        </w:tc>
        <w:tc>
          <w:tcPr>
            <w:tcW w:w="2437" w:type="dxa"/>
          </w:tcPr>
          <w:p w14:paraId="18B0F790" w14:textId="0B7F86DB" w:rsidR="00F20F73" w:rsidRPr="00294CD4" w:rsidRDefault="00475075" w:rsidP="0093714F">
            <w:pPr>
              <w:rPr>
                <w:rFonts w:ascii="Calibri" w:hAnsi="Calibri" w:cs="Calibri"/>
                <w:lang w:val="sr-Latn-ME"/>
              </w:rPr>
            </w:pPr>
            <w:r>
              <w:rPr>
                <w:rFonts w:ascii="Calibri" w:hAnsi="Calibri" w:cs="Calibri"/>
                <w:lang w:val="sr-Latn-ME"/>
              </w:rPr>
              <w:t>Slovenija</w:t>
            </w:r>
          </w:p>
        </w:tc>
      </w:tr>
      <w:tr w:rsidR="00F20F73" w:rsidRPr="00294CD4" w14:paraId="6165A76A" w14:textId="77777777" w:rsidTr="0093714F">
        <w:tc>
          <w:tcPr>
            <w:tcW w:w="2567" w:type="dxa"/>
          </w:tcPr>
          <w:p w14:paraId="61363CE1" w14:textId="77777777" w:rsidR="00F20F73" w:rsidRPr="00294CD4" w:rsidRDefault="00F20F73" w:rsidP="0093714F">
            <w:pPr>
              <w:rPr>
                <w:rFonts w:ascii="Calibri" w:hAnsi="Calibri" w:cs="Calibri"/>
                <w:lang w:val="sr-Latn-ME"/>
              </w:rPr>
            </w:pPr>
          </w:p>
        </w:tc>
        <w:tc>
          <w:tcPr>
            <w:tcW w:w="2385" w:type="dxa"/>
          </w:tcPr>
          <w:p w14:paraId="78CA666A" w14:textId="77777777" w:rsidR="00F20F73" w:rsidRPr="00294CD4" w:rsidRDefault="00F20F73" w:rsidP="0093714F">
            <w:pPr>
              <w:rPr>
                <w:rFonts w:ascii="Calibri" w:hAnsi="Calibri" w:cs="Calibri"/>
                <w:lang w:val="sr-Latn-ME"/>
              </w:rPr>
            </w:pPr>
            <w:r w:rsidRPr="00294CD4">
              <w:rPr>
                <w:rFonts w:ascii="Calibri" w:hAnsi="Calibri" w:cs="Calibri"/>
                <w:lang w:val="sr-Latn-ME"/>
              </w:rPr>
              <w:t>9</w:t>
            </w:r>
          </w:p>
        </w:tc>
        <w:tc>
          <w:tcPr>
            <w:tcW w:w="2070" w:type="dxa"/>
          </w:tcPr>
          <w:p w14:paraId="07C7F92E" w14:textId="79C8675D" w:rsidR="00F20F73" w:rsidRPr="00294CD4" w:rsidRDefault="005661CE" w:rsidP="0093714F">
            <w:pPr>
              <w:rPr>
                <w:rFonts w:ascii="Calibri" w:hAnsi="Calibri" w:cs="Calibri"/>
                <w:lang w:val="sr-Latn-ME"/>
              </w:rPr>
            </w:pPr>
            <w:r w:rsidRPr="00294CD4">
              <w:rPr>
                <w:rFonts w:ascii="Calibri" w:hAnsi="Calibri" w:cs="Calibri"/>
                <w:lang w:val="sr-Latn-ME"/>
              </w:rPr>
              <w:t>DA</w:t>
            </w:r>
          </w:p>
        </w:tc>
        <w:tc>
          <w:tcPr>
            <w:tcW w:w="2437" w:type="dxa"/>
          </w:tcPr>
          <w:p w14:paraId="1DAF192D" w14:textId="186187A2" w:rsidR="00F20F73" w:rsidRPr="00294CD4" w:rsidRDefault="00475075" w:rsidP="0093714F">
            <w:pPr>
              <w:rPr>
                <w:rFonts w:ascii="Calibri" w:hAnsi="Calibri" w:cs="Calibri"/>
                <w:lang w:val="sr-Latn-ME"/>
              </w:rPr>
            </w:pPr>
            <w:r>
              <w:rPr>
                <w:rFonts w:ascii="Calibri" w:hAnsi="Calibri" w:cs="Calibri"/>
                <w:lang w:val="sr-Latn-ME"/>
              </w:rPr>
              <w:t>Španija</w:t>
            </w:r>
          </w:p>
        </w:tc>
      </w:tr>
    </w:tbl>
    <w:p w14:paraId="13D48612" w14:textId="77777777" w:rsidR="00F20F73" w:rsidRPr="00294CD4" w:rsidRDefault="00F20F73" w:rsidP="00F20F73">
      <w:pPr>
        <w:rPr>
          <w:rFonts w:ascii="Calibri" w:hAnsi="Calibri" w:cs="Calibri"/>
          <w:lang w:val="sr-Latn-ME"/>
        </w:rPr>
      </w:pPr>
    </w:p>
    <w:p w14:paraId="65220BCB" w14:textId="5566E446" w:rsidR="00DF4DE6" w:rsidRPr="00294CD4" w:rsidRDefault="004D47C6" w:rsidP="00475075">
      <w:pPr>
        <w:tabs>
          <w:tab w:val="clear" w:pos="850"/>
          <w:tab w:val="clear" w:pos="1191"/>
          <w:tab w:val="clear" w:pos="1531"/>
        </w:tabs>
        <w:spacing w:after="200" w:line="276" w:lineRule="auto"/>
        <w:jc w:val="left"/>
        <w:rPr>
          <w:rFonts w:ascii="Calibri" w:hAnsi="Calibri" w:cs="Calibri"/>
          <w:lang w:val="sr-Latn-ME"/>
        </w:rPr>
      </w:pPr>
      <w:r w:rsidRPr="00294CD4">
        <w:rPr>
          <w:rFonts w:ascii="Calibri" w:hAnsi="Calibri" w:cs="Calibri"/>
          <w:lang w:val="sr-Latn-ME"/>
        </w:rPr>
        <w:br w:type="page"/>
      </w:r>
    </w:p>
    <w:p w14:paraId="2D12FDED" w14:textId="321D4649" w:rsidR="00F20F73" w:rsidRPr="00294CD4" w:rsidRDefault="005661CE" w:rsidP="00F20F73">
      <w:pPr>
        <w:pStyle w:val="ListParagraph"/>
        <w:numPr>
          <w:ilvl w:val="0"/>
          <w:numId w:val="14"/>
        </w:numPr>
        <w:rPr>
          <w:rFonts w:ascii="Calibri" w:hAnsi="Calibri" w:cs="Calibri"/>
          <w:b/>
          <w:bCs/>
          <w:lang w:val="sr-Latn-ME"/>
        </w:rPr>
      </w:pPr>
      <w:r w:rsidRPr="00294CD4">
        <w:rPr>
          <w:rFonts w:ascii="Calibri" w:hAnsi="Calibri" w:cs="Calibri"/>
          <w:b/>
          <w:bCs/>
          <w:lang w:val="sr-Latn-ME"/>
        </w:rPr>
        <w:lastRenderedPageBreak/>
        <w:t xml:space="preserve">Prednosti i nedostaci različitih rješenja </w:t>
      </w:r>
    </w:p>
    <w:p w14:paraId="4CA43B79" w14:textId="77777777" w:rsidR="00F20F73" w:rsidRPr="00294CD4" w:rsidRDefault="00F20F73" w:rsidP="00F20F73">
      <w:pPr>
        <w:pStyle w:val="ListParagraph"/>
        <w:ind w:left="1080"/>
        <w:rPr>
          <w:rFonts w:ascii="Calibri" w:hAnsi="Calibri" w:cs="Calibri"/>
          <w:lang w:val="sr-Latn-ME"/>
        </w:rPr>
      </w:pPr>
    </w:p>
    <w:p w14:paraId="538A6AA5" w14:textId="66996072" w:rsidR="00F20F73" w:rsidRPr="00294CD4" w:rsidRDefault="005661CE" w:rsidP="00F20F73">
      <w:pPr>
        <w:pStyle w:val="ListParagraph"/>
        <w:numPr>
          <w:ilvl w:val="0"/>
          <w:numId w:val="16"/>
        </w:numPr>
        <w:rPr>
          <w:rFonts w:ascii="Calibri" w:hAnsi="Calibri" w:cs="Calibri"/>
          <w:b/>
          <w:bCs/>
          <w:lang w:val="sr-Latn-ME"/>
        </w:rPr>
      </w:pPr>
      <w:r w:rsidRPr="00294CD4">
        <w:rPr>
          <w:rFonts w:ascii="Calibri" w:hAnsi="Calibri" w:cs="Calibri"/>
          <w:b/>
          <w:bCs/>
          <w:lang w:val="sr-Latn-ME"/>
        </w:rPr>
        <w:t xml:space="preserve">Neograničeno trajanje mandata u odnosu na ograničeno trajanje mandata članova </w:t>
      </w:r>
    </w:p>
    <w:p w14:paraId="002A260B" w14:textId="2AF90546" w:rsidR="00F20F73" w:rsidRPr="00294CD4" w:rsidRDefault="005661CE" w:rsidP="00F20F73">
      <w:pPr>
        <w:tabs>
          <w:tab w:val="clear" w:pos="850"/>
          <w:tab w:val="clear" w:pos="1191"/>
          <w:tab w:val="clear" w:pos="1531"/>
        </w:tabs>
        <w:spacing w:before="100" w:beforeAutospacing="1" w:after="100" w:afterAutospacing="1"/>
        <w:rPr>
          <w:rFonts w:ascii="Calibri" w:eastAsia="Times New Roman" w:hAnsi="Calibri" w:cs="Calibri"/>
          <w:lang w:val="sr-Latn-ME"/>
        </w:rPr>
      </w:pPr>
      <w:r w:rsidRPr="00294CD4">
        <w:rPr>
          <w:rFonts w:ascii="Calibri" w:eastAsia="Times New Roman" w:hAnsi="Calibri" w:cs="Calibri"/>
          <w:lang w:val="sr-Latn-ME"/>
        </w:rPr>
        <w:t xml:space="preserve">Kao što je gore pomenuto, princip 2 Meksičke deklaracije govori da šefovi VRI (i oni koji su imenovani na više pozicije VRI, kao što su članovi) treba da imaju dovoljno </w:t>
      </w:r>
      <w:r w:rsidR="0093714F" w:rsidRPr="00294CD4">
        <w:rPr>
          <w:rFonts w:ascii="Calibri" w:eastAsia="Times New Roman" w:hAnsi="Calibri" w:cs="Calibri"/>
          <w:lang w:val="sr-Latn-ME"/>
        </w:rPr>
        <w:t xml:space="preserve">dug </w:t>
      </w:r>
      <w:r w:rsidRPr="00294CD4">
        <w:rPr>
          <w:rFonts w:ascii="Calibri" w:eastAsia="Times New Roman" w:hAnsi="Calibri" w:cs="Calibri"/>
          <w:lang w:val="sr-Latn-ME"/>
        </w:rPr>
        <w:t xml:space="preserve">mandat </w:t>
      </w:r>
      <w:r w:rsidR="0093714F" w:rsidRPr="00294CD4">
        <w:rPr>
          <w:rFonts w:ascii="Calibri" w:eastAsia="Times New Roman" w:hAnsi="Calibri" w:cs="Calibri"/>
          <w:lang w:val="sr-Latn-ME"/>
        </w:rPr>
        <w:t>kako bi se napravila razlika</w:t>
      </w:r>
      <w:r w:rsidRPr="00294CD4">
        <w:rPr>
          <w:rFonts w:ascii="Calibri" w:eastAsia="Times New Roman" w:hAnsi="Calibri" w:cs="Calibri"/>
          <w:lang w:val="sr-Latn-ME"/>
        </w:rPr>
        <w:t xml:space="preserve">. Prema </w:t>
      </w:r>
      <w:r w:rsidRPr="004A0A7F">
        <w:rPr>
          <w:rFonts w:ascii="Calibri" w:eastAsia="Times New Roman" w:hAnsi="Calibri" w:cs="Calibri"/>
          <w:b/>
          <w:lang w:val="sr-Latn-ME"/>
        </w:rPr>
        <w:t>Resursnom centru za nezavisnost DRI</w:t>
      </w:r>
      <w:r w:rsidRPr="00294CD4">
        <w:rPr>
          <w:rFonts w:ascii="Calibri" w:eastAsia="Times New Roman" w:hAnsi="Calibri" w:cs="Calibri"/>
          <w:lang w:val="sr-Latn-ME"/>
        </w:rPr>
        <w:t xml:space="preserve"> </w:t>
      </w:r>
      <w:r w:rsidRPr="004A0A7F">
        <w:rPr>
          <w:rFonts w:ascii="Calibri" w:eastAsia="Times New Roman" w:hAnsi="Calibri" w:cs="Calibri"/>
          <w:i/>
          <w:lang w:val="sr-Latn-ME"/>
        </w:rPr>
        <w:t>„</w:t>
      </w:r>
      <w:r w:rsidR="0093714F" w:rsidRPr="004A0A7F">
        <w:rPr>
          <w:rFonts w:ascii="Calibri" w:eastAsia="Times New Roman" w:hAnsi="Calibri" w:cs="Calibri"/>
          <w:i/>
          <w:lang w:val="sr-Latn-ME"/>
        </w:rPr>
        <w:t>Za p</w:t>
      </w:r>
      <w:r w:rsidRPr="004A0A7F">
        <w:rPr>
          <w:rFonts w:ascii="Calibri" w:eastAsia="Times New Roman" w:hAnsi="Calibri" w:cs="Calibri"/>
          <w:i/>
          <w:lang w:val="sr-Latn-ME"/>
        </w:rPr>
        <w:t xml:space="preserve">rekratak period malo se može uraditi – </w:t>
      </w:r>
      <w:r w:rsidR="0093714F" w:rsidRPr="004A0A7F">
        <w:rPr>
          <w:rFonts w:ascii="Calibri" w:eastAsia="Times New Roman" w:hAnsi="Calibri" w:cs="Calibri"/>
          <w:i/>
          <w:lang w:val="sr-Latn-ME"/>
        </w:rPr>
        <w:t xml:space="preserve">u slučaju predugog mandata </w:t>
      </w:r>
      <w:r w:rsidRPr="004A0A7F">
        <w:rPr>
          <w:rFonts w:ascii="Calibri" w:eastAsia="Times New Roman" w:hAnsi="Calibri" w:cs="Calibri"/>
          <w:i/>
          <w:lang w:val="sr-Latn-ME"/>
        </w:rPr>
        <w:t>organizacija može patiti od nedostatka fluktuacije</w:t>
      </w:r>
      <w:r w:rsidR="0093714F" w:rsidRPr="004A0A7F">
        <w:rPr>
          <w:rFonts w:ascii="Calibri" w:eastAsia="Times New Roman" w:hAnsi="Calibri" w:cs="Calibri"/>
          <w:i/>
          <w:lang w:val="sr-Latn-ME"/>
        </w:rPr>
        <w:t xml:space="preserve"> kadra</w:t>
      </w:r>
      <w:r w:rsidRPr="004A0A7F">
        <w:rPr>
          <w:rFonts w:ascii="Calibri" w:eastAsia="Times New Roman" w:hAnsi="Calibri" w:cs="Calibri"/>
          <w:i/>
          <w:lang w:val="sr-Latn-ME"/>
        </w:rPr>
        <w:t>“.</w:t>
      </w:r>
    </w:p>
    <w:p w14:paraId="40F180F0" w14:textId="3A0FC6F0" w:rsidR="0093714F" w:rsidRPr="00294CD4" w:rsidRDefault="0093714F" w:rsidP="00F20F73">
      <w:pPr>
        <w:tabs>
          <w:tab w:val="clear" w:pos="850"/>
          <w:tab w:val="clear" w:pos="1191"/>
          <w:tab w:val="clear" w:pos="1531"/>
        </w:tabs>
        <w:spacing w:before="100" w:beforeAutospacing="1" w:after="100" w:afterAutospacing="1"/>
        <w:rPr>
          <w:rFonts w:ascii="Calibri" w:eastAsia="Times New Roman" w:hAnsi="Calibri" w:cs="Calibri"/>
          <w:lang w:val="sr-Latn-ME"/>
        </w:rPr>
      </w:pPr>
      <w:r w:rsidRPr="00294CD4">
        <w:rPr>
          <w:rFonts w:ascii="Calibri" w:eastAsia="Times New Roman" w:hAnsi="Calibri" w:cs="Calibri"/>
          <w:lang w:val="sr-Latn-ME"/>
        </w:rPr>
        <w:t>Trenutno u Crnoj Gori članovi (senatori) DRI imaju neograničen mandat, za koji se čini da više se ne smatra da je primjeren, iz razloga što je rečeno da postoji rizik da sa ovom sigurnošću, članovi nemaju podsticaj da pokažu učinak i posvećenost svom položaju. Prilikom izrade Zakona o DRI, međutim, smatralo se da, kao i u Njemačkoj i drugim državama članicama EU sa neograničenim mandatom članova, članovi DRI treba da budu zaštićeni podjednako kao i sudije, koji u Crnoj Gori imaju neograničen mandat</w:t>
      </w:r>
      <w:r w:rsidR="00F20F73" w:rsidRPr="00294CD4">
        <w:rPr>
          <w:rStyle w:val="FootnoteReference"/>
          <w:rFonts w:ascii="Calibri" w:eastAsia="Times New Roman" w:hAnsi="Calibri" w:cs="Calibri"/>
          <w:lang w:val="sr-Latn-ME"/>
        </w:rPr>
        <w:footnoteReference w:id="20"/>
      </w:r>
      <w:r w:rsidR="00F20F73" w:rsidRPr="00294CD4">
        <w:rPr>
          <w:rFonts w:ascii="Calibri" w:eastAsia="Times New Roman" w:hAnsi="Calibri" w:cs="Calibri"/>
          <w:lang w:val="sr-Latn-ME"/>
        </w:rPr>
        <w:t xml:space="preserve">. </w:t>
      </w:r>
      <w:r w:rsidRPr="00294CD4">
        <w:rPr>
          <w:rFonts w:ascii="Calibri" w:eastAsia="Times New Roman" w:hAnsi="Calibri" w:cs="Calibri"/>
          <w:lang w:val="sr-Latn-ME"/>
        </w:rPr>
        <w:t xml:space="preserve">Ovo razmatranje proizilazi iz shvatanja da su oni koji su imenovani za članove Senata izabrani zbog posjedovanja integriteta i </w:t>
      </w:r>
      <w:r w:rsidR="004A0A7F">
        <w:rPr>
          <w:rFonts w:ascii="Calibri" w:eastAsia="Times New Roman" w:hAnsi="Calibri" w:cs="Calibri"/>
          <w:lang w:val="sr-Latn-ME"/>
        </w:rPr>
        <w:t xml:space="preserve">etičnosti u radu </w:t>
      </w:r>
      <w:r w:rsidRPr="00294CD4">
        <w:rPr>
          <w:rFonts w:ascii="Calibri" w:eastAsia="Times New Roman" w:hAnsi="Calibri" w:cs="Calibri"/>
          <w:lang w:val="sr-Latn-ME"/>
        </w:rPr>
        <w:t>s jedne strane i vještina i profesionalnog iskustva s druge strane, kako</w:t>
      </w:r>
      <w:r w:rsidR="004A0A7F">
        <w:rPr>
          <w:rFonts w:ascii="Calibri" w:eastAsia="Times New Roman" w:hAnsi="Calibri" w:cs="Calibri"/>
          <w:lang w:val="sr-Latn-ME"/>
        </w:rPr>
        <w:t xml:space="preserve"> bi se osiguralo da neograničeno trajanje</w:t>
      </w:r>
      <w:r w:rsidRPr="00294CD4">
        <w:rPr>
          <w:rFonts w:ascii="Calibri" w:eastAsia="Times New Roman" w:hAnsi="Calibri" w:cs="Calibri"/>
          <w:lang w:val="sr-Latn-ME"/>
        </w:rPr>
        <w:t xml:space="preserve"> mandat</w:t>
      </w:r>
      <w:r w:rsidR="004A0A7F">
        <w:rPr>
          <w:rFonts w:ascii="Calibri" w:eastAsia="Times New Roman" w:hAnsi="Calibri" w:cs="Calibri"/>
          <w:lang w:val="sr-Latn-ME"/>
        </w:rPr>
        <w:t>a ne ograničava njihov učinak.</w:t>
      </w:r>
      <w:r w:rsidRPr="00294CD4">
        <w:rPr>
          <w:rFonts w:ascii="Calibri" w:eastAsia="Times New Roman" w:hAnsi="Calibri" w:cs="Calibri"/>
          <w:lang w:val="sr-Latn-ME"/>
        </w:rPr>
        <w:t xml:space="preserve"> Istovremeno, ova sigurnost mandata takođe znači da nema pritiska na članove da bilo koga „zadovolje“ revizorskim izvještajima i preporukama. Mogu da se koncentrišu na svoj činjenični, objektivan, neutralan i profesionalan rad.</w:t>
      </w:r>
    </w:p>
    <w:p w14:paraId="2ADC112F" w14:textId="3E107D98" w:rsidR="00F20F73" w:rsidRPr="00294CD4" w:rsidRDefault="0093714F" w:rsidP="00F20F73">
      <w:pPr>
        <w:pStyle w:val="CommentText"/>
        <w:rPr>
          <w:rFonts w:ascii="Calibri" w:hAnsi="Calibri" w:cs="Calibri"/>
          <w:sz w:val="22"/>
          <w:szCs w:val="22"/>
          <w:lang w:val="sr-Latn-ME"/>
        </w:rPr>
      </w:pPr>
      <w:r w:rsidRPr="00294CD4">
        <w:rPr>
          <w:rFonts w:ascii="Calibri" w:hAnsi="Calibri" w:cs="Calibri"/>
          <w:sz w:val="22"/>
          <w:szCs w:val="22"/>
          <w:lang w:val="sr-Latn-ME"/>
        </w:rPr>
        <w:t>S druge strane, kao što smo vidjeli gore, postoji veliki broj VRI u EU u kojima je mandat članova ograničen, s obzirom na to da rukovodstvo bilo koje organizacije treba s vremena na vrijeme da se osvježava da bi se ubacile nove ideje i pristupi kako u oblasti revizije tako i u oblasti upravljanja i strateškog pravca razvoja organizacije. U Crnoj Gori, DRI ne upravlja samo predsjednik već i Senat. Dakle, argument o prednostima obnove rukovodstva organizacij</w:t>
      </w:r>
      <w:r w:rsidR="004A0A7F">
        <w:rPr>
          <w:rFonts w:ascii="Calibri" w:hAnsi="Calibri" w:cs="Calibri"/>
          <w:sz w:val="22"/>
          <w:szCs w:val="22"/>
          <w:lang w:val="sr-Latn-ME"/>
        </w:rPr>
        <w:t xml:space="preserve">e </w:t>
      </w:r>
      <w:r w:rsidRPr="00294CD4">
        <w:rPr>
          <w:rFonts w:ascii="Calibri" w:hAnsi="Calibri" w:cs="Calibri"/>
          <w:sz w:val="22"/>
          <w:szCs w:val="22"/>
          <w:lang w:val="sr-Latn-ME"/>
        </w:rPr>
        <w:t>mogao bi se primjeniti ne samo na predsjednika već i na članove DRI.</w:t>
      </w:r>
    </w:p>
    <w:p w14:paraId="578BF2E4" w14:textId="59B9801B" w:rsidR="00F20F73" w:rsidRPr="004A0A7F" w:rsidRDefault="0093714F" w:rsidP="004D47C6">
      <w:pPr>
        <w:tabs>
          <w:tab w:val="clear" w:pos="850"/>
          <w:tab w:val="clear" w:pos="1191"/>
          <w:tab w:val="clear" w:pos="1531"/>
        </w:tabs>
        <w:spacing w:before="100" w:beforeAutospacing="1"/>
        <w:rPr>
          <w:rFonts w:ascii="Calibri" w:eastAsia="Times New Roman" w:hAnsi="Calibri" w:cs="Calibri"/>
          <w:b/>
          <w:bCs/>
          <w:u w:val="single"/>
          <w:lang w:val="sr-Latn-ME"/>
        </w:rPr>
      </w:pPr>
      <w:r w:rsidRPr="004A0A7F">
        <w:rPr>
          <w:rFonts w:ascii="Calibri" w:eastAsia="Times New Roman" w:hAnsi="Calibri" w:cs="Calibri"/>
          <w:b/>
          <w:bCs/>
          <w:u w:val="single"/>
          <w:lang w:val="sr-Latn-ME"/>
        </w:rPr>
        <w:t xml:space="preserve">Zaključak </w:t>
      </w:r>
    </w:p>
    <w:p w14:paraId="330D1E18" w14:textId="21540202" w:rsidR="0093714F" w:rsidRPr="004A0A7F" w:rsidRDefault="00F20F73" w:rsidP="004D47C6">
      <w:pPr>
        <w:tabs>
          <w:tab w:val="clear" w:pos="850"/>
          <w:tab w:val="clear" w:pos="1191"/>
          <w:tab w:val="clear" w:pos="1531"/>
        </w:tabs>
        <w:spacing w:after="100" w:afterAutospacing="1"/>
        <w:rPr>
          <w:rFonts w:ascii="Calibri" w:eastAsia="Times New Roman" w:hAnsi="Calibri" w:cs="Calibri"/>
          <w:b/>
          <w:lang w:val="sr-Latn-ME"/>
        </w:rPr>
      </w:pPr>
      <w:r w:rsidRPr="0085170F">
        <w:rPr>
          <w:rFonts w:ascii="Calibri" w:eastAsia="Times New Roman" w:hAnsi="Calibri" w:cs="Calibri"/>
          <w:lang w:val="sr-Latn-ME"/>
        </w:rPr>
        <w:t xml:space="preserve">SIGMA </w:t>
      </w:r>
      <w:r w:rsidR="0093714F" w:rsidRPr="0085170F">
        <w:rPr>
          <w:rFonts w:ascii="Calibri" w:eastAsia="Times New Roman" w:hAnsi="Calibri" w:cs="Calibri"/>
          <w:lang w:val="sr-Latn-ME"/>
        </w:rPr>
        <w:t xml:space="preserve">ne preporučuje nužno vremensko ograničenje </w:t>
      </w:r>
      <w:r w:rsidR="004A0A7F" w:rsidRPr="0085170F">
        <w:rPr>
          <w:rFonts w:ascii="Calibri" w:eastAsia="Times New Roman" w:hAnsi="Calibri" w:cs="Calibri"/>
          <w:lang w:val="sr-Latn-ME"/>
        </w:rPr>
        <w:t xml:space="preserve">trajanja </w:t>
      </w:r>
      <w:r w:rsidR="0093714F" w:rsidRPr="0085170F">
        <w:rPr>
          <w:rFonts w:ascii="Calibri" w:eastAsia="Times New Roman" w:hAnsi="Calibri" w:cs="Calibri"/>
          <w:lang w:val="sr-Latn-ME"/>
        </w:rPr>
        <w:t xml:space="preserve">mandata. Kao što smo vidjeli iz pregleda prakse u državama članicama EU, to se u stvari praktikuje u nekoliko stabilnih demokratija u EU. Međutim, veći broj VRI EU ima ograničen mandat za svoje članove, uzimajući u obzir ograničenje kao garanciju za visok učinak, </w:t>
      </w:r>
      <w:r w:rsidR="004A0A7F" w:rsidRPr="0085170F">
        <w:rPr>
          <w:rFonts w:ascii="Calibri" w:eastAsia="Times New Roman" w:hAnsi="Calibri" w:cs="Calibri"/>
          <w:lang w:val="sr-Latn-ME"/>
        </w:rPr>
        <w:t xml:space="preserve">reforme </w:t>
      </w:r>
      <w:r w:rsidR="0093714F" w:rsidRPr="0085170F">
        <w:rPr>
          <w:rFonts w:ascii="Calibri" w:eastAsia="Times New Roman" w:hAnsi="Calibri" w:cs="Calibri"/>
          <w:lang w:val="sr-Latn-ME"/>
        </w:rPr>
        <w:t>i inovacije.</w:t>
      </w:r>
    </w:p>
    <w:p w14:paraId="15BF20DE" w14:textId="00820B21" w:rsidR="00F20F73" w:rsidRPr="00294CD4" w:rsidRDefault="0093714F" w:rsidP="00F20F73">
      <w:pPr>
        <w:pStyle w:val="ListParagraph"/>
        <w:numPr>
          <w:ilvl w:val="0"/>
          <w:numId w:val="16"/>
        </w:numPr>
        <w:tabs>
          <w:tab w:val="clear" w:pos="850"/>
          <w:tab w:val="clear" w:pos="1191"/>
          <w:tab w:val="clear" w:pos="1531"/>
        </w:tabs>
        <w:spacing w:before="100" w:beforeAutospacing="1" w:after="100" w:afterAutospacing="1"/>
        <w:rPr>
          <w:rFonts w:ascii="Calibri" w:eastAsia="Times New Roman" w:hAnsi="Calibri" w:cs="Calibri"/>
          <w:b/>
          <w:bCs/>
          <w:lang w:val="sr-Latn-ME"/>
        </w:rPr>
      </w:pPr>
      <w:r w:rsidRPr="00294CD4">
        <w:rPr>
          <w:rFonts w:ascii="Calibri" w:eastAsia="Times New Roman" w:hAnsi="Calibri" w:cs="Calibri"/>
          <w:b/>
          <w:bCs/>
          <w:lang w:val="sr-Latn-ME"/>
        </w:rPr>
        <w:t xml:space="preserve">Dugačak mandat u odnosu na kratak mandat </w:t>
      </w:r>
    </w:p>
    <w:p w14:paraId="605CB139" w14:textId="790741AA" w:rsidR="00F20F73" w:rsidRPr="0085170F" w:rsidRDefault="0093714F" w:rsidP="00F20F73">
      <w:pPr>
        <w:tabs>
          <w:tab w:val="clear" w:pos="850"/>
          <w:tab w:val="clear" w:pos="1191"/>
          <w:tab w:val="clear" w:pos="1531"/>
        </w:tabs>
        <w:spacing w:before="100" w:beforeAutospacing="1" w:after="100" w:afterAutospacing="1"/>
        <w:rPr>
          <w:rFonts w:ascii="Calibri" w:eastAsia="Times New Roman" w:hAnsi="Calibri" w:cs="Calibri"/>
          <w:lang w:val="sr-Latn-ME"/>
        </w:rPr>
      </w:pPr>
      <w:r w:rsidRPr="00294CD4">
        <w:rPr>
          <w:rFonts w:ascii="Calibri" w:eastAsia="Times New Roman" w:hAnsi="Calibri" w:cs="Calibri"/>
          <w:lang w:val="sr-Latn-ME"/>
        </w:rPr>
        <w:t xml:space="preserve">Mandat koji je vremenski ograničen, nosi i nekoliko rizika, posebno ako je prekratak. Prekratak mandat može značiti da novi član DRI nema dovoljno vremena da se upozna sa kompleksnošću ove funkcije </w:t>
      </w:r>
      <w:r w:rsidR="004A0A7F">
        <w:rPr>
          <w:rFonts w:ascii="Calibri" w:eastAsia="Times New Roman" w:hAnsi="Calibri" w:cs="Calibri"/>
          <w:lang w:val="sr-Latn-ME"/>
        </w:rPr>
        <w:t>posebno u pogledu oblasti koju treba da revidira</w:t>
      </w:r>
      <w:r w:rsidRPr="00294CD4">
        <w:rPr>
          <w:rFonts w:ascii="Calibri" w:eastAsia="Times New Roman" w:hAnsi="Calibri" w:cs="Calibri"/>
          <w:lang w:val="sr-Latn-ME"/>
        </w:rPr>
        <w:t xml:space="preserve">. U kontekstu EU, postoji opšte razumijevanje da mandat koji je kraći od pet godina povećava ovaj rizik. Stoga, ako postoji široka saglasnost u Crnoj Gori za prelazak na imenovanja </w:t>
      </w:r>
      <w:r w:rsidR="004A0A7F">
        <w:rPr>
          <w:rFonts w:ascii="Calibri" w:eastAsia="Times New Roman" w:hAnsi="Calibri" w:cs="Calibri"/>
          <w:lang w:val="sr-Latn-ME"/>
        </w:rPr>
        <w:t xml:space="preserve">članova Senata </w:t>
      </w:r>
      <w:r w:rsidRPr="00294CD4">
        <w:rPr>
          <w:rFonts w:ascii="Calibri" w:eastAsia="Times New Roman" w:hAnsi="Calibri" w:cs="Calibri"/>
          <w:lang w:val="sr-Latn-ME"/>
        </w:rPr>
        <w:t xml:space="preserve">na određeno vrijeme, potrebno je pažljivo razmotriti dužinu </w:t>
      </w:r>
      <w:r w:rsidR="004A0A7F">
        <w:rPr>
          <w:rFonts w:ascii="Calibri" w:eastAsia="Times New Roman" w:hAnsi="Calibri" w:cs="Calibri"/>
          <w:lang w:val="sr-Latn-ME"/>
        </w:rPr>
        <w:t xml:space="preserve">trajanja </w:t>
      </w:r>
      <w:r w:rsidRPr="00294CD4">
        <w:rPr>
          <w:rFonts w:ascii="Calibri" w:eastAsia="Times New Roman" w:hAnsi="Calibri" w:cs="Calibri"/>
          <w:lang w:val="sr-Latn-ME"/>
        </w:rPr>
        <w:t xml:space="preserve">mandata koji je vremenski ograničen. Predsjednik Odbora za ekonomiju, budžet i finansije Skupštine Crne Gore predložio je mandat na četiri godine. </w:t>
      </w:r>
      <w:r w:rsidRPr="0085170F">
        <w:rPr>
          <w:rFonts w:ascii="Calibri" w:eastAsia="Times New Roman" w:hAnsi="Calibri" w:cs="Calibri"/>
          <w:lang w:val="sr-Latn-ME"/>
        </w:rPr>
        <w:t xml:space="preserve">Ovo bi bio jedan od najkraćih mandata u državama članicama EU kao što je gore navedeno. Takođe je iste dužine kao i mandat </w:t>
      </w:r>
      <w:r w:rsidR="004A0A7F" w:rsidRPr="0085170F">
        <w:rPr>
          <w:rFonts w:ascii="Calibri" w:eastAsia="Times New Roman" w:hAnsi="Calibri" w:cs="Calibri"/>
          <w:lang w:val="sr-Latn-ME"/>
        </w:rPr>
        <w:t>V</w:t>
      </w:r>
      <w:r w:rsidRPr="0085170F">
        <w:rPr>
          <w:rFonts w:ascii="Calibri" w:eastAsia="Times New Roman" w:hAnsi="Calibri" w:cs="Calibri"/>
          <w:lang w:val="sr-Latn-ME"/>
        </w:rPr>
        <w:t xml:space="preserve">lade u Crnoj Gori. Po našem mišljenju, oni nikada ne bi trebalo da budu ko-terminus ili da se poklapaju, kako bi se izbegla činjenica – ili percepcija – da članovi </w:t>
      </w:r>
      <w:r w:rsidR="004A0A7F" w:rsidRPr="0085170F">
        <w:rPr>
          <w:rFonts w:ascii="Calibri" w:eastAsia="Times New Roman" w:hAnsi="Calibri" w:cs="Calibri"/>
          <w:lang w:val="sr-Latn-ME"/>
        </w:rPr>
        <w:t>S</w:t>
      </w:r>
      <w:r w:rsidRPr="0085170F">
        <w:rPr>
          <w:rFonts w:ascii="Calibri" w:eastAsia="Times New Roman" w:hAnsi="Calibri" w:cs="Calibri"/>
          <w:lang w:val="sr-Latn-ME"/>
        </w:rPr>
        <w:t xml:space="preserve">enata „služe“ određenoj </w:t>
      </w:r>
      <w:r w:rsidR="004A0A7F" w:rsidRPr="0085170F">
        <w:rPr>
          <w:rFonts w:ascii="Calibri" w:eastAsia="Times New Roman" w:hAnsi="Calibri" w:cs="Calibri"/>
          <w:lang w:val="sr-Latn-ME"/>
        </w:rPr>
        <w:t>V</w:t>
      </w:r>
      <w:r w:rsidRPr="0085170F">
        <w:rPr>
          <w:rFonts w:ascii="Calibri" w:eastAsia="Times New Roman" w:hAnsi="Calibri" w:cs="Calibri"/>
          <w:lang w:val="sr-Latn-ME"/>
        </w:rPr>
        <w:t xml:space="preserve">ladi. Dakle, mandat </w:t>
      </w:r>
      <w:r w:rsidR="004A0A7F" w:rsidRPr="0085170F">
        <w:rPr>
          <w:rFonts w:ascii="Calibri" w:eastAsia="Times New Roman" w:hAnsi="Calibri" w:cs="Calibri"/>
          <w:lang w:val="sr-Latn-ME"/>
        </w:rPr>
        <w:t>S</w:t>
      </w:r>
      <w:r w:rsidRPr="0085170F">
        <w:rPr>
          <w:rFonts w:ascii="Calibri" w:eastAsia="Times New Roman" w:hAnsi="Calibri" w:cs="Calibri"/>
          <w:lang w:val="sr-Latn-ME"/>
        </w:rPr>
        <w:t xml:space="preserve">enatora DRI ne bi trebalo da bude usklađen </w:t>
      </w:r>
      <w:r w:rsidRPr="0085170F">
        <w:rPr>
          <w:rFonts w:ascii="Calibri" w:eastAsia="Times New Roman" w:hAnsi="Calibri" w:cs="Calibri"/>
          <w:lang w:val="sr-Latn-ME"/>
        </w:rPr>
        <w:lastRenderedPageBreak/>
        <w:t>sa izbornim ciklusom. U idealnom slučaju, mandat članova svih nezavisnih institucija trebalo bi da bude duži od mandata vlade kao zaštita od političkog uplitanja.</w:t>
      </w:r>
    </w:p>
    <w:p w14:paraId="5F07C9F9" w14:textId="45590AA5" w:rsidR="00F20F73" w:rsidRPr="0085170F" w:rsidRDefault="0093714F" w:rsidP="00F20F73">
      <w:pPr>
        <w:tabs>
          <w:tab w:val="clear" w:pos="850"/>
          <w:tab w:val="clear" w:pos="1191"/>
          <w:tab w:val="clear" w:pos="1531"/>
        </w:tabs>
        <w:spacing w:before="100" w:beforeAutospacing="1" w:after="100" w:afterAutospacing="1"/>
        <w:rPr>
          <w:rFonts w:ascii="Calibri" w:eastAsia="Times New Roman" w:hAnsi="Calibri" w:cs="Calibri"/>
          <w:b/>
          <w:lang w:val="sr-Latn-ME"/>
        </w:rPr>
      </w:pPr>
      <w:r w:rsidRPr="0085170F">
        <w:rPr>
          <w:rFonts w:ascii="Calibri" w:eastAsia="Times New Roman" w:hAnsi="Calibri" w:cs="Calibri"/>
          <w:lang w:val="sr-Latn-ME"/>
        </w:rPr>
        <w:t>Preklapanje između mandata vlade i mandata članova DRI lako bi ostavila utisak da imenovanje nije „bez političkog uticaja ” kako to zaht</w:t>
      </w:r>
      <w:r w:rsidR="00306874" w:rsidRPr="0085170F">
        <w:rPr>
          <w:rFonts w:ascii="Calibri" w:eastAsia="Times New Roman" w:hAnsi="Calibri" w:cs="Calibri"/>
          <w:lang w:val="sr-Latn-ME"/>
        </w:rPr>
        <w:t>j</w:t>
      </w:r>
      <w:r w:rsidRPr="0085170F">
        <w:rPr>
          <w:rFonts w:ascii="Calibri" w:eastAsia="Times New Roman" w:hAnsi="Calibri" w:cs="Calibri"/>
          <w:lang w:val="sr-Latn-ME"/>
        </w:rPr>
        <w:t>eva isti princip. Važno je da se članov</w:t>
      </w:r>
      <w:r w:rsidR="004A0A7F" w:rsidRPr="0085170F">
        <w:rPr>
          <w:rFonts w:ascii="Calibri" w:eastAsia="Times New Roman" w:hAnsi="Calibri" w:cs="Calibri"/>
          <w:lang w:val="sr-Latn-ME"/>
        </w:rPr>
        <w:t>i Senata</w:t>
      </w:r>
      <w:r w:rsidRPr="0085170F">
        <w:rPr>
          <w:rFonts w:ascii="Calibri" w:eastAsia="Times New Roman" w:hAnsi="Calibri" w:cs="Calibri"/>
          <w:lang w:val="sr-Latn-ME"/>
        </w:rPr>
        <w:t xml:space="preserve"> DRI ne </w:t>
      </w:r>
      <w:r w:rsidR="004A0A7F" w:rsidRPr="0085170F">
        <w:rPr>
          <w:rFonts w:ascii="Calibri" w:eastAsia="Times New Roman" w:hAnsi="Calibri" w:cs="Calibri"/>
          <w:lang w:val="sr-Latn-ME"/>
        </w:rPr>
        <w:t>posmatraju</w:t>
      </w:r>
      <w:r w:rsidRPr="0085170F">
        <w:rPr>
          <w:rFonts w:ascii="Calibri" w:eastAsia="Times New Roman" w:hAnsi="Calibri" w:cs="Calibri"/>
          <w:lang w:val="sr-Latn-ME"/>
        </w:rPr>
        <w:t xml:space="preserve"> kao da ih imenuje jedna politička partija ili koalicija vladajućih partija. Članovi </w:t>
      </w:r>
      <w:r w:rsidR="004A0A7F" w:rsidRPr="0085170F">
        <w:rPr>
          <w:rFonts w:ascii="Calibri" w:eastAsia="Times New Roman" w:hAnsi="Calibri" w:cs="Calibri"/>
          <w:lang w:val="sr-Latn-ME"/>
        </w:rPr>
        <w:t xml:space="preserve">Senata </w:t>
      </w:r>
      <w:r w:rsidRPr="0085170F">
        <w:rPr>
          <w:rFonts w:ascii="Calibri" w:eastAsia="Times New Roman" w:hAnsi="Calibri" w:cs="Calibri"/>
          <w:lang w:val="sr-Latn-ME"/>
        </w:rPr>
        <w:t xml:space="preserve">DRI treba da budu nestranački bez ikakvog upućivanja na partijsku pripadnost kako bi ne samo bili </w:t>
      </w:r>
      <w:r w:rsidRPr="0085170F">
        <w:rPr>
          <w:rFonts w:ascii="Calibri" w:eastAsia="Times New Roman" w:hAnsi="Calibri" w:cs="Calibri"/>
          <w:b/>
          <w:lang w:val="sr-Latn-ME"/>
        </w:rPr>
        <w:t>nezavisni</w:t>
      </w:r>
      <w:r w:rsidRPr="0085170F">
        <w:rPr>
          <w:rFonts w:ascii="Calibri" w:eastAsia="Times New Roman" w:hAnsi="Calibri" w:cs="Calibri"/>
          <w:lang w:val="sr-Latn-ME"/>
        </w:rPr>
        <w:t xml:space="preserve"> već i da bi bili </w:t>
      </w:r>
      <w:r w:rsidRPr="0085170F">
        <w:rPr>
          <w:rFonts w:ascii="Calibri" w:eastAsia="Times New Roman" w:hAnsi="Calibri" w:cs="Calibri"/>
          <w:b/>
          <w:lang w:val="sr-Latn-ME"/>
        </w:rPr>
        <w:t>nezavisni od svih političkih partija.</w:t>
      </w:r>
    </w:p>
    <w:p w14:paraId="48DC2F5F" w14:textId="53377BBB" w:rsidR="00F20F73" w:rsidRDefault="0093714F" w:rsidP="004D47C6">
      <w:pPr>
        <w:tabs>
          <w:tab w:val="clear" w:pos="850"/>
          <w:tab w:val="clear" w:pos="1191"/>
          <w:tab w:val="clear" w:pos="1531"/>
        </w:tabs>
        <w:rPr>
          <w:rFonts w:ascii="Calibri" w:eastAsia="Times New Roman" w:hAnsi="Calibri" w:cs="Calibri"/>
          <w:b/>
          <w:bCs/>
          <w:u w:val="single"/>
          <w:lang w:val="sr-Latn-ME"/>
        </w:rPr>
      </w:pPr>
      <w:r w:rsidRPr="004A0A7F">
        <w:rPr>
          <w:rFonts w:ascii="Calibri" w:eastAsia="Times New Roman" w:hAnsi="Calibri" w:cs="Calibri"/>
          <w:b/>
          <w:bCs/>
          <w:u w:val="single"/>
          <w:lang w:val="sr-Latn-ME"/>
        </w:rPr>
        <w:t>Zaključak</w:t>
      </w:r>
      <w:r w:rsidR="00F20F73" w:rsidRPr="004A0A7F">
        <w:rPr>
          <w:rFonts w:ascii="Calibri" w:eastAsia="Times New Roman" w:hAnsi="Calibri" w:cs="Calibri"/>
          <w:b/>
          <w:bCs/>
          <w:u w:val="single"/>
          <w:lang w:val="sr-Latn-ME"/>
        </w:rPr>
        <w:t>:</w:t>
      </w:r>
    </w:p>
    <w:p w14:paraId="12929525" w14:textId="77777777" w:rsidR="004A0A7F" w:rsidRPr="004A0A7F" w:rsidRDefault="004A0A7F" w:rsidP="004D47C6">
      <w:pPr>
        <w:tabs>
          <w:tab w:val="clear" w:pos="850"/>
          <w:tab w:val="clear" w:pos="1191"/>
          <w:tab w:val="clear" w:pos="1531"/>
        </w:tabs>
        <w:rPr>
          <w:rFonts w:ascii="Calibri" w:eastAsia="Times New Roman" w:hAnsi="Calibri" w:cs="Calibri"/>
          <w:b/>
          <w:bCs/>
          <w:u w:val="single"/>
          <w:lang w:val="sr-Latn-ME"/>
        </w:rPr>
      </w:pPr>
    </w:p>
    <w:p w14:paraId="6C09EFFA" w14:textId="7C49CCE3" w:rsidR="00EF2AD2" w:rsidRPr="0085170F" w:rsidRDefault="0093714F" w:rsidP="004D47C6">
      <w:pPr>
        <w:tabs>
          <w:tab w:val="clear" w:pos="850"/>
          <w:tab w:val="clear" w:pos="1191"/>
          <w:tab w:val="clear" w:pos="1531"/>
        </w:tabs>
        <w:spacing w:after="100" w:afterAutospacing="1"/>
        <w:rPr>
          <w:rFonts w:ascii="Calibri" w:eastAsia="Times New Roman" w:hAnsi="Calibri" w:cs="Calibri"/>
          <w:lang w:val="sr-Latn-ME"/>
        </w:rPr>
      </w:pPr>
      <w:r w:rsidRPr="0085170F">
        <w:rPr>
          <w:rFonts w:ascii="Calibri" w:eastAsia="Times New Roman" w:hAnsi="Calibri" w:cs="Calibri"/>
          <w:lang w:val="sr-Latn-ME"/>
        </w:rPr>
        <w:t xml:space="preserve">Mandat članova </w:t>
      </w:r>
      <w:r w:rsidR="004A0A7F" w:rsidRPr="0085170F">
        <w:rPr>
          <w:rFonts w:ascii="Calibri" w:eastAsia="Times New Roman" w:hAnsi="Calibri" w:cs="Calibri"/>
          <w:lang w:val="sr-Latn-ME"/>
        </w:rPr>
        <w:t xml:space="preserve">Senata </w:t>
      </w:r>
      <w:r w:rsidRPr="0085170F">
        <w:rPr>
          <w:rFonts w:ascii="Calibri" w:eastAsia="Times New Roman" w:hAnsi="Calibri" w:cs="Calibri"/>
          <w:lang w:val="sr-Latn-ME"/>
        </w:rPr>
        <w:t>DRI na određeno vr</w:t>
      </w:r>
      <w:r w:rsidR="00306874" w:rsidRPr="0085170F">
        <w:rPr>
          <w:rFonts w:ascii="Calibri" w:eastAsia="Times New Roman" w:hAnsi="Calibri" w:cs="Calibri"/>
          <w:lang w:val="sr-Latn-ME"/>
        </w:rPr>
        <w:t>ij</w:t>
      </w:r>
      <w:r w:rsidRPr="0085170F">
        <w:rPr>
          <w:rFonts w:ascii="Calibri" w:eastAsia="Times New Roman" w:hAnsi="Calibri" w:cs="Calibri"/>
          <w:lang w:val="sr-Latn-ME"/>
        </w:rPr>
        <w:t>eme ne bi trebalo da bude usklađen</w:t>
      </w:r>
      <w:r w:rsidR="004A0A7F" w:rsidRPr="0085170F">
        <w:rPr>
          <w:rFonts w:ascii="Calibri" w:eastAsia="Times New Roman" w:hAnsi="Calibri" w:cs="Calibri"/>
          <w:lang w:val="sr-Latn-ME"/>
        </w:rPr>
        <w:t>o</w:t>
      </w:r>
      <w:r w:rsidRPr="0085170F">
        <w:rPr>
          <w:rFonts w:ascii="Calibri" w:eastAsia="Times New Roman" w:hAnsi="Calibri" w:cs="Calibri"/>
          <w:lang w:val="sr-Latn-ME"/>
        </w:rPr>
        <w:t xml:space="preserve"> sa </w:t>
      </w:r>
      <w:r w:rsidR="004A0A7F" w:rsidRPr="0085170F">
        <w:rPr>
          <w:rFonts w:ascii="Calibri" w:eastAsia="Times New Roman" w:hAnsi="Calibri" w:cs="Calibri"/>
          <w:lang w:val="sr-Latn-ME"/>
        </w:rPr>
        <w:t>izbornim ciklusom i mandatom V</w:t>
      </w:r>
      <w:r w:rsidRPr="0085170F">
        <w:rPr>
          <w:rFonts w:ascii="Calibri" w:eastAsia="Times New Roman" w:hAnsi="Calibri" w:cs="Calibri"/>
          <w:lang w:val="sr-Latn-ME"/>
        </w:rPr>
        <w:t>lade. U idealnom slučaju, ne bi trebalo da bude kraće od pet godina. Preporučujemo da se ugleda</w:t>
      </w:r>
      <w:r w:rsidR="00306874" w:rsidRPr="0085170F">
        <w:rPr>
          <w:rFonts w:ascii="Calibri" w:eastAsia="Times New Roman" w:hAnsi="Calibri" w:cs="Calibri"/>
          <w:lang w:val="sr-Latn-ME"/>
        </w:rPr>
        <w:t>te</w:t>
      </w:r>
      <w:r w:rsidRPr="0085170F">
        <w:rPr>
          <w:rFonts w:ascii="Calibri" w:eastAsia="Times New Roman" w:hAnsi="Calibri" w:cs="Calibri"/>
          <w:lang w:val="sr-Latn-ME"/>
        </w:rPr>
        <w:t xml:space="preserve"> na nekoliko zemalja članica EU i da razmotri</w:t>
      </w:r>
      <w:r w:rsidR="00306874" w:rsidRPr="0085170F">
        <w:rPr>
          <w:rFonts w:ascii="Calibri" w:eastAsia="Times New Roman" w:hAnsi="Calibri" w:cs="Calibri"/>
          <w:lang w:val="sr-Latn-ME"/>
        </w:rPr>
        <w:t>te</w:t>
      </w:r>
      <w:r w:rsidRPr="0085170F">
        <w:rPr>
          <w:rFonts w:ascii="Calibri" w:eastAsia="Times New Roman" w:hAnsi="Calibri" w:cs="Calibri"/>
          <w:lang w:val="sr-Latn-ME"/>
        </w:rPr>
        <w:t xml:space="preserve"> dužinu </w:t>
      </w:r>
      <w:r w:rsidR="004A0A7F" w:rsidRPr="0085170F">
        <w:rPr>
          <w:rFonts w:ascii="Calibri" w:eastAsia="Times New Roman" w:hAnsi="Calibri" w:cs="Calibri"/>
          <w:lang w:val="sr-Latn-ME"/>
        </w:rPr>
        <w:t xml:space="preserve">trajanja </w:t>
      </w:r>
      <w:r w:rsidRPr="0085170F">
        <w:rPr>
          <w:rFonts w:ascii="Calibri" w:eastAsia="Times New Roman" w:hAnsi="Calibri" w:cs="Calibri"/>
          <w:lang w:val="sr-Latn-ME"/>
        </w:rPr>
        <w:t>mandata od šest do devet godina, ukoliko se usvoji predlog mandata na određeno vreme.</w:t>
      </w:r>
    </w:p>
    <w:p w14:paraId="4D9B3570" w14:textId="6A5B91B3" w:rsidR="00F20F73" w:rsidRPr="00294CD4" w:rsidRDefault="00306874" w:rsidP="00534B71">
      <w:pPr>
        <w:pStyle w:val="ListParagraph"/>
        <w:numPr>
          <w:ilvl w:val="0"/>
          <w:numId w:val="16"/>
        </w:numPr>
        <w:tabs>
          <w:tab w:val="clear" w:pos="850"/>
          <w:tab w:val="clear" w:pos="1191"/>
          <w:tab w:val="clear" w:pos="1531"/>
        </w:tabs>
        <w:spacing w:after="100" w:afterAutospacing="1"/>
        <w:rPr>
          <w:rFonts w:ascii="Calibri" w:eastAsia="Times New Roman" w:hAnsi="Calibri" w:cs="Calibri"/>
          <w:b/>
          <w:bCs/>
          <w:lang w:val="sr-Latn-ME"/>
        </w:rPr>
      </w:pPr>
      <w:r w:rsidRPr="00294CD4">
        <w:rPr>
          <w:rFonts w:ascii="Calibri" w:eastAsia="Times New Roman" w:hAnsi="Calibri" w:cs="Calibri"/>
          <w:b/>
          <w:bCs/>
          <w:lang w:val="sr-Latn-ME"/>
        </w:rPr>
        <w:t xml:space="preserve">Mandat koji se može obnoviti u odnosu na mandat koji se ne može obnoviti </w:t>
      </w:r>
    </w:p>
    <w:p w14:paraId="565DD849" w14:textId="5E68AB4A" w:rsidR="00F20F73" w:rsidRPr="0085170F" w:rsidRDefault="00306874" w:rsidP="00F20F73">
      <w:pPr>
        <w:tabs>
          <w:tab w:val="clear" w:pos="850"/>
          <w:tab w:val="clear" w:pos="1191"/>
          <w:tab w:val="clear" w:pos="1531"/>
        </w:tabs>
        <w:spacing w:before="100" w:beforeAutospacing="1" w:after="100" w:afterAutospacing="1"/>
        <w:rPr>
          <w:rFonts w:ascii="Calibri" w:eastAsia="Times New Roman" w:hAnsi="Calibri" w:cs="Calibri"/>
          <w:lang w:val="sr-Latn-ME"/>
        </w:rPr>
      </w:pPr>
      <w:r w:rsidRPr="00294CD4">
        <w:rPr>
          <w:rFonts w:ascii="Calibri" w:eastAsia="Times New Roman" w:hAnsi="Calibri" w:cs="Calibri"/>
          <w:lang w:val="sr-Latn-ME"/>
        </w:rPr>
        <w:t xml:space="preserve">Ukoliko se usvoji mandat članova </w:t>
      </w:r>
      <w:r w:rsidR="004A0A7F">
        <w:rPr>
          <w:rFonts w:ascii="Calibri" w:eastAsia="Times New Roman" w:hAnsi="Calibri" w:cs="Calibri"/>
          <w:lang w:val="sr-Latn-ME"/>
        </w:rPr>
        <w:t>Senata DRI</w:t>
      </w:r>
      <w:r w:rsidRPr="00294CD4">
        <w:rPr>
          <w:rFonts w:ascii="Calibri" w:eastAsia="Times New Roman" w:hAnsi="Calibri" w:cs="Calibri"/>
          <w:lang w:val="sr-Latn-ME"/>
        </w:rPr>
        <w:t xml:space="preserve"> na određeno vr</w:t>
      </w:r>
      <w:r w:rsidR="004A0A7F">
        <w:rPr>
          <w:rFonts w:ascii="Calibri" w:eastAsia="Times New Roman" w:hAnsi="Calibri" w:cs="Calibri"/>
          <w:lang w:val="sr-Latn-ME"/>
        </w:rPr>
        <w:t>ij</w:t>
      </w:r>
      <w:r w:rsidRPr="00294CD4">
        <w:rPr>
          <w:rFonts w:ascii="Calibri" w:eastAsia="Times New Roman" w:hAnsi="Calibri" w:cs="Calibri"/>
          <w:lang w:val="sr-Latn-ME"/>
        </w:rPr>
        <w:t xml:space="preserve">eme, mora se pažljivo razmotriti i pitanje da li se on može obnoviti. Kao što vidimo iz pregleda prakse u EU, </w:t>
      </w:r>
      <w:r w:rsidRPr="00294CD4">
        <w:rPr>
          <w:rFonts w:ascii="Calibri" w:eastAsia="Times New Roman" w:hAnsi="Calibri" w:cs="Calibri"/>
          <w:b/>
          <w:lang w:val="sr-Latn-ME"/>
        </w:rPr>
        <w:t xml:space="preserve">samo jedna od devet VRI </w:t>
      </w:r>
      <w:r w:rsidRPr="0085170F">
        <w:rPr>
          <w:rFonts w:ascii="Calibri" w:eastAsia="Times New Roman" w:hAnsi="Calibri" w:cs="Calibri"/>
          <w:lang w:val="sr-Latn-ME"/>
        </w:rPr>
        <w:t xml:space="preserve">koje ograničavaju mandat </w:t>
      </w:r>
      <w:r w:rsidR="004A0A7F" w:rsidRPr="0085170F">
        <w:rPr>
          <w:rFonts w:ascii="Calibri" w:eastAsia="Times New Roman" w:hAnsi="Calibri" w:cs="Calibri"/>
          <w:lang w:val="sr-Latn-ME"/>
        </w:rPr>
        <w:t>članovima</w:t>
      </w:r>
      <w:r w:rsidRPr="0085170F">
        <w:rPr>
          <w:rFonts w:ascii="Calibri" w:eastAsia="Times New Roman" w:hAnsi="Calibri" w:cs="Calibri"/>
          <w:lang w:val="sr-Latn-ME"/>
        </w:rPr>
        <w:t xml:space="preserve"> DRI se opredijelila za mandat od devet godina</w:t>
      </w:r>
      <w:r w:rsidR="004A0A7F" w:rsidRPr="0085170F">
        <w:rPr>
          <w:rFonts w:ascii="Calibri" w:eastAsia="Times New Roman" w:hAnsi="Calibri" w:cs="Calibri"/>
          <w:lang w:val="sr-Latn-ME"/>
        </w:rPr>
        <w:t xml:space="preserve"> koji nema pravo produžetka</w:t>
      </w:r>
      <w:r w:rsidRPr="0085170F">
        <w:rPr>
          <w:rFonts w:ascii="Calibri" w:eastAsia="Times New Roman" w:hAnsi="Calibri" w:cs="Calibri"/>
          <w:lang w:val="sr-Latn-ME"/>
        </w:rPr>
        <w:t>. Nemamo pregled nad praksom obnavljanja, što znači, ne postoje statistički podaci da se v</w:t>
      </w:r>
      <w:r w:rsidR="004A0A7F" w:rsidRPr="0085170F">
        <w:rPr>
          <w:rFonts w:ascii="Calibri" w:eastAsia="Times New Roman" w:hAnsi="Calibri" w:cs="Calibri"/>
          <w:lang w:val="sr-Latn-ME"/>
        </w:rPr>
        <w:t>idi koliko često se mandat članova</w:t>
      </w:r>
      <w:r w:rsidRPr="0085170F">
        <w:rPr>
          <w:rFonts w:ascii="Calibri" w:eastAsia="Times New Roman" w:hAnsi="Calibri" w:cs="Calibri"/>
          <w:lang w:val="sr-Latn-ME"/>
        </w:rPr>
        <w:t xml:space="preserve"> obnavlja. Prema našim saznanjima, obnavljanje mandata je često formalnost i može se obaviti više puta, samo je u Letoniji produženje izričito ograničeno na tri perioda od četiri godine. To znači da de facto većina članova ostaje mnogo duže od samo jednog mandata u svojoj VRI.</w:t>
      </w:r>
    </w:p>
    <w:p w14:paraId="6F98D590" w14:textId="60968677" w:rsidR="00306874" w:rsidRPr="00294CD4" w:rsidRDefault="00306874" w:rsidP="0093714F">
      <w:pPr>
        <w:tabs>
          <w:tab w:val="clear" w:pos="850"/>
          <w:tab w:val="clear" w:pos="1191"/>
          <w:tab w:val="clear" w:pos="1531"/>
        </w:tabs>
        <w:spacing w:before="100" w:beforeAutospacing="1" w:after="100" w:afterAutospacing="1"/>
        <w:rPr>
          <w:rFonts w:ascii="Calibri" w:eastAsia="Times New Roman" w:hAnsi="Calibri" w:cs="Calibri"/>
          <w:lang w:val="sr-Latn-ME"/>
        </w:rPr>
      </w:pPr>
      <w:r w:rsidRPr="00294CD4">
        <w:rPr>
          <w:rFonts w:ascii="Calibri" w:eastAsia="Times New Roman" w:hAnsi="Calibri" w:cs="Calibri"/>
          <w:lang w:val="sr-Latn-ME"/>
        </w:rPr>
        <w:t>Činjenica je da članovi treba da se postaraju da budu ponovo imenovani od strane parlamentarne većine za drugi ili treći mandat, međutim, može podstaći da isti oklijevaju da rade u kritičnim rev</w:t>
      </w:r>
      <w:r w:rsidR="00536AE0">
        <w:rPr>
          <w:rFonts w:ascii="Calibri" w:eastAsia="Times New Roman" w:hAnsi="Calibri" w:cs="Calibri"/>
          <w:lang w:val="sr-Latn-ME"/>
        </w:rPr>
        <w:t xml:space="preserve">izijama. Stoga, iako ograničeni, </w:t>
      </w:r>
      <w:r w:rsidRPr="00294CD4">
        <w:rPr>
          <w:rFonts w:ascii="Calibri" w:eastAsia="Times New Roman" w:hAnsi="Calibri" w:cs="Calibri"/>
          <w:lang w:val="sr-Latn-ME"/>
        </w:rPr>
        <w:t xml:space="preserve">ali mandati </w:t>
      </w:r>
      <w:r w:rsidR="00536AE0">
        <w:rPr>
          <w:rFonts w:ascii="Calibri" w:eastAsia="Times New Roman" w:hAnsi="Calibri" w:cs="Calibri"/>
          <w:lang w:val="sr-Latn-ME"/>
        </w:rPr>
        <w:t xml:space="preserve">koji se mogu produžiti, </w:t>
      </w:r>
      <w:r w:rsidRPr="00294CD4">
        <w:rPr>
          <w:rFonts w:ascii="Calibri" w:eastAsia="Times New Roman" w:hAnsi="Calibri" w:cs="Calibri"/>
          <w:lang w:val="sr-Latn-ME"/>
        </w:rPr>
        <w:t>parlamentu pružaju mogućnost da ukloni neefikasne članove VRI, a zadrži one koji dobro rade, nosi i određene rizike.</w:t>
      </w:r>
    </w:p>
    <w:p w14:paraId="283841EB" w14:textId="7BB903E9" w:rsidR="0093714F" w:rsidRPr="0085170F" w:rsidRDefault="0093714F" w:rsidP="0093714F">
      <w:pPr>
        <w:tabs>
          <w:tab w:val="clear" w:pos="850"/>
          <w:tab w:val="clear" w:pos="1191"/>
          <w:tab w:val="clear" w:pos="1531"/>
        </w:tabs>
        <w:spacing w:before="100" w:beforeAutospacing="1" w:after="100" w:afterAutospacing="1"/>
        <w:rPr>
          <w:rFonts w:ascii="Calibri" w:eastAsia="Times New Roman" w:hAnsi="Calibri" w:cs="Calibri"/>
          <w:lang w:val="sr-Latn-ME"/>
        </w:rPr>
      </w:pPr>
      <w:r w:rsidRPr="0085170F">
        <w:rPr>
          <w:rFonts w:ascii="Calibri" w:eastAsia="Times New Roman" w:hAnsi="Calibri" w:cs="Calibri"/>
          <w:lang w:val="sr-Latn-ME"/>
        </w:rPr>
        <w:t xml:space="preserve">U ovom kontekstu treba istaći da je ključno da svi članovi Senata ne prestanu sa </w:t>
      </w:r>
      <w:r w:rsidR="00536AE0" w:rsidRPr="0085170F">
        <w:rPr>
          <w:rFonts w:ascii="Calibri" w:eastAsia="Times New Roman" w:hAnsi="Calibri" w:cs="Calibri"/>
          <w:lang w:val="sr-Latn-ME"/>
        </w:rPr>
        <w:t>svojom funkcijom/mandatom</w:t>
      </w:r>
      <w:r w:rsidRPr="0085170F">
        <w:rPr>
          <w:rFonts w:ascii="Calibri" w:eastAsia="Times New Roman" w:hAnsi="Calibri" w:cs="Calibri"/>
          <w:lang w:val="sr-Latn-ME"/>
        </w:rPr>
        <w:t xml:space="preserve"> u isto</w:t>
      </w:r>
      <w:r w:rsidR="00536AE0" w:rsidRPr="0085170F">
        <w:rPr>
          <w:rFonts w:ascii="Calibri" w:eastAsia="Times New Roman" w:hAnsi="Calibri" w:cs="Calibri"/>
          <w:lang w:val="sr-Latn-ME"/>
        </w:rPr>
        <w:t>m trenutku</w:t>
      </w:r>
      <w:r w:rsidRPr="0085170F">
        <w:rPr>
          <w:rFonts w:ascii="Calibri" w:eastAsia="Times New Roman" w:hAnsi="Calibri" w:cs="Calibri"/>
          <w:lang w:val="sr-Latn-ME"/>
        </w:rPr>
        <w:t>. Iz razloga kontinuiteta rada DRI kao institucije, sm</w:t>
      </w:r>
      <w:r w:rsidR="00306874" w:rsidRPr="0085170F">
        <w:rPr>
          <w:rFonts w:ascii="Calibri" w:eastAsia="Times New Roman" w:hAnsi="Calibri" w:cs="Calibri"/>
          <w:lang w:val="sr-Latn-ME"/>
        </w:rPr>
        <w:t>j</w:t>
      </w:r>
      <w:r w:rsidRPr="0085170F">
        <w:rPr>
          <w:rFonts w:ascii="Calibri" w:eastAsia="Times New Roman" w:hAnsi="Calibri" w:cs="Calibri"/>
          <w:lang w:val="sr-Latn-ME"/>
        </w:rPr>
        <w:t>enu članova je potrebno organizovati, pravno i praktično, na način da ove prom</w:t>
      </w:r>
      <w:r w:rsidR="00306874" w:rsidRPr="0085170F">
        <w:rPr>
          <w:rFonts w:ascii="Calibri" w:eastAsia="Times New Roman" w:hAnsi="Calibri" w:cs="Calibri"/>
          <w:lang w:val="sr-Latn-ME"/>
        </w:rPr>
        <w:t>j</w:t>
      </w:r>
      <w:r w:rsidRPr="0085170F">
        <w:rPr>
          <w:rFonts w:ascii="Calibri" w:eastAsia="Times New Roman" w:hAnsi="Calibri" w:cs="Calibri"/>
          <w:lang w:val="sr-Latn-ME"/>
        </w:rPr>
        <w:t>ene u rukovodstvu ne utiču negativno na poslovanje DRI.</w:t>
      </w:r>
    </w:p>
    <w:p w14:paraId="67FEC85E" w14:textId="69A10319" w:rsidR="00534B71" w:rsidRPr="00536AE0" w:rsidRDefault="0093714F" w:rsidP="00534B71">
      <w:pPr>
        <w:tabs>
          <w:tab w:val="clear" w:pos="850"/>
          <w:tab w:val="clear" w:pos="1191"/>
          <w:tab w:val="clear" w:pos="1531"/>
        </w:tabs>
        <w:spacing w:before="100" w:beforeAutospacing="1"/>
        <w:rPr>
          <w:rFonts w:ascii="Calibri" w:eastAsia="Times New Roman" w:hAnsi="Calibri" w:cs="Calibri"/>
          <w:b/>
          <w:bCs/>
          <w:u w:val="single"/>
          <w:lang w:val="sr-Latn-ME"/>
        </w:rPr>
      </w:pPr>
      <w:r w:rsidRPr="00536AE0">
        <w:rPr>
          <w:rFonts w:ascii="Calibri" w:eastAsia="Times New Roman" w:hAnsi="Calibri" w:cs="Calibri"/>
          <w:b/>
          <w:bCs/>
          <w:u w:val="single"/>
          <w:lang w:val="sr-Latn-ME"/>
        </w:rPr>
        <w:t>Zaključak:</w:t>
      </w:r>
    </w:p>
    <w:p w14:paraId="04AF9787" w14:textId="3814CACF" w:rsidR="0093714F" w:rsidRPr="0085170F" w:rsidRDefault="0093714F" w:rsidP="0093714F">
      <w:pPr>
        <w:tabs>
          <w:tab w:val="clear" w:pos="850"/>
          <w:tab w:val="clear" w:pos="1191"/>
          <w:tab w:val="clear" w:pos="1531"/>
        </w:tabs>
        <w:spacing w:before="100" w:beforeAutospacing="1"/>
        <w:rPr>
          <w:rFonts w:ascii="Calibri" w:eastAsia="Times New Roman" w:hAnsi="Calibri" w:cs="Calibri"/>
          <w:lang w:val="sr-Latn-ME"/>
        </w:rPr>
      </w:pPr>
      <w:r w:rsidRPr="0085170F">
        <w:rPr>
          <w:rFonts w:ascii="Calibri" w:hAnsi="Calibri" w:cs="Calibri"/>
          <w:lang w:val="sr-Latn-ME"/>
        </w:rPr>
        <w:t xml:space="preserve">Mišljenja smo da je u slučaju da se predvidi vremensko ograničenje mandata </w:t>
      </w:r>
      <w:r w:rsidR="00536AE0" w:rsidRPr="0085170F">
        <w:rPr>
          <w:rFonts w:ascii="Calibri" w:hAnsi="Calibri" w:cs="Calibri"/>
          <w:lang w:val="sr-Latn-ME"/>
        </w:rPr>
        <w:t>članova S</w:t>
      </w:r>
      <w:r w:rsidRPr="0085170F">
        <w:rPr>
          <w:rFonts w:ascii="Calibri" w:hAnsi="Calibri" w:cs="Calibri"/>
          <w:lang w:val="sr-Latn-ME"/>
        </w:rPr>
        <w:t>enata, njihov</w:t>
      </w:r>
      <w:r w:rsidR="00294CD4" w:rsidRPr="0085170F">
        <w:rPr>
          <w:rFonts w:ascii="Calibri" w:hAnsi="Calibri" w:cs="Calibri"/>
          <w:lang w:val="sr-Latn-ME"/>
        </w:rPr>
        <w:t>u</w:t>
      </w:r>
      <w:r w:rsidRPr="0085170F">
        <w:rPr>
          <w:rFonts w:ascii="Calibri" w:hAnsi="Calibri" w:cs="Calibri"/>
          <w:lang w:val="sr-Latn-ME"/>
        </w:rPr>
        <w:t xml:space="preserve"> nezavisnost najbolje obezb</w:t>
      </w:r>
      <w:r w:rsidR="00306874" w:rsidRPr="0085170F">
        <w:rPr>
          <w:rFonts w:ascii="Calibri" w:hAnsi="Calibri" w:cs="Calibri"/>
          <w:lang w:val="sr-Latn-ME"/>
        </w:rPr>
        <w:t>ij</w:t>
      </w:r>
      <w:r w:rsidRPr="0085170F">
        <w:rPr>
          <w:rFonts w:ascii="Calibri" w:hAnsi="Calibri" w:cs="Calibri"/>
          <w:lang w:val="sr-Latn-ME"/>
        </w:rPr>
        <w:t xml:space="preserve">editi mandatom </w:t>
      </w:r>
      <w:r w:rsidR="00536AE0" w:rsidRPr="0085170F">
        <w:rPr>
          <w:rFonts w:ascii="Calibri" w:hAnsi="Calibri" w:cs="Calibri"/>
          <w:lang w:val="sr-Latn-ME"/>
        </w:rPr>
        <w:t xml:space="preserve">na dužem vremenskom periodu, a </w:t>
      </w:r>
      <w:r w:rsidR="00294CD4" w:rsidRPr="0085170F">
        <w:rPr>
          <w:rFonts w:ascii="Calibri" w:hAnsi="Calibri" w:cs="Calibri"/>
          <w:lang w:val="sr-Latn-ME"/>
        </w:rPr>
        <w:t>koji je neobnovljiv</w:t>
      </w:r>
      <w:r w:rsidRPr="0085170F">
        <w:rPr>
          <w:rFonts w:ascii="Calibri" w:hAnsi="Calibri" w:cs="Calibri"/>
          <w:lang w:val="sr-Latn-ME"/>
        </w:rPr>
        <w:t xml:space="preserve">, odnosno </w:t>
      </w:r>
      <w:r w:rsidR="00536AE0" w:rsidRPr="0085170F">
        <w:rPr>
          <w:rFonts w:ascii="Calibri" w:hAnsi="Calibri" w:cs="Calibri"/>
          <w:lang w:val="sr-Latn-ME"/>
        </w:rPr>
        <w:t xml:space="preserve">sa trajanjem od </w:t>
      </w:r>
      <w:r w:rsidRPr="0085170F">
        <w:rPr>
          <w:rFonts w:ascii="Calibri" w:hAnsi="Calibri" w:cs="Calibri"/>
          <w:lang w:val="sr-Latn-ME"/>
        </w:rPr>
        <w:t>osam do deset godina.</w:t>
      </w:r>
    </w:p>
    <w:p w14:paraId="1D8A7E6C" w14:textId="5BF97DF9" w:rsidR="0093714F" w:rsidRPr="00294CD4" w:rsidRDefault="0093714F" w:rsidP="00F20F73">
      <w:pPr>
        <w:pStyle w:val="ListParagraph"/>
        <w:numPr>
          <w:ilvl w:val="0"/>
          <w:numId w:val="14"/>
        </w:numPr>
        <w:tabs>
          <w:tab w:val="clear" w:pos="850"/>
          <w:tab w:val="clear" w:pos="1191"/>
          <w:tab w:val="clear" w:pos="1531"/>
        </w:tabs>
        <w:spacing w:before="100" w:beforeAutospacing="1" w:after="100" w:afterAutospacing="1"/>
        <w:rPr>
          <w:rFonts w:ascii="Calibri" w:hAnsi="Calibri" w:cs="Calibri"/>
          <w:b/>
          <w:bCs/>
          <w:lang w:val="sr-Latn-ME"/>
        </w:rPr>
      </w:pPr>
      <w:r w:rsidRPr="00294CD4">
        <w:rPr>
          <w:rFonts w:ascii="Calibri" w:hAnsi="Calibri" w:cs="Calibri"/>
          <w:b/>
          <w:bCs/>
          <w:lang w:val="sr-Latn-ME"/>
        </w:rPr>
        <w:t xml:space="preserve">Prelazni period od neograničenog </w:t>
      </w:r>
      <w:r w:rsidR="00536AE0">
        <w:rPr>
          <w:rFonts w:ascii="Calibri" w:hAnsi="Calibri" w:cs="Calibri"/>
          <w:b/>
          <w:bCs/>
          <w:lang w:val="sr-Latn-ME"/>
        </w:rPr>
        <w:t xml:space="preserve">trajanja </w:t>
      </w:r>
      <w:r w:rsidRPr="00294CD4">
        <w:rPr>
          <w:rFonts w:ascii="Calibri" w:hAnsi="Calibri" w:cs="Calibri"/>
          <w:b/>
          <w:bCs/>
          <w:lang w:val="sr-Latn-ME"/>
        </w:rPr>
        <w:t xml:space="preserve">mandata do ograničenog </w:t>
      </w:r>
      <w:r w:rsidR="00536AE0">
        <w:rPr>
          <w:rFonts w:ascii="Calibri" w:hAnsi="Calibri" w:cs="Calibri"/>
          <w:b/>
          <w:bCs/>
          <w:lang w:val="sr-Latn-ME"/>
        </w:rPr>
        <w:t xml:space="preserve">trajanja </w:t>
      </w:r>
      <w:r w:rsidRPr="00294CD4">
        <w:rPr>
          <w:rFonts w:ascii="Calibri" w:hAnsi="Calibri" w:cs="Calibri"/>
          <w:b/>
          <w:bCs/>
          <w:lang w:val="sr-Latn-ME"/>
        </w:rPr>
        <w:t xml:space="preserve">mandata </w:t>
      </w:r>
    </w:p>
    <w:p w14:paraId="0ED65944" w14:textId="4288A0BA" w:rsidR="00F20F73" w:rsidRPr="00294CD4" w:rsidRDefault="0093714F" w:rsidP="00F20F73">
      <w:pPr>
        <w:rPr>
          <w:rFonts w:ascii="Calibri" w:hAnsi="Calibri" w:cs="Calibri"/>
          <w:lang w:val="sr-Latn-ME"/>
        </w:rPr>
      </w:pPr>
      <w:r w:rsidRPr="00294CD4">
        <w:rPr>
          <w:rFonts w:ascii="Calibri" w:hAnsi="Calibri" w:cs="Calibri"/>
          <w:lang w:val="sr-Latn-ME"/>
        </w:rPr>
        <w:t>Treba istaći da izm</w:t>
      </w:r>
      <w:r w:rsidR="00294CD4" w:rsidRPr="00294CD4">
        <w:rPr>
          <w:rFonts w:ascii="Calibri" w:hAnsi="Calibri" w:cs="Calibri"/>
          <w:lang w:val="sr-Latn-ME"/>
        </w:rPr>
        <w:t>j</w:t>
      </w:r>
      <w:r w:rsidRPr="00294CD4">
        <w:rPr>
          <w:rFonts w:ascii="Calibri" w:hAnsi="Calibri" w:cs="Calibri"/>
          <w:lang w:val="sr-Latn-ME"/>
        </w:rPr>
        <w:t>ene zakonskog osnova DRI u Crnoj Gori za ograničavanje mandata članova</w:t>
      </w:r>
      <w:r w:rsidR="00536AE0">
        <w:rPr>
          <w:rFonts w:ascii="Calibri" w:hAnsi="Calibri" w:cs="Calibri"/>
          <w:lang w:val="sr-Latn-ME"/>
        </w:rPr>
        <w:t xml:space="preserve"> Senata</w:t>
      </w:r>
      <w:r w:rsidRPr="00294CD4">
        <w:rPr>
          <w:rFonts w:ascii="Calibri" w:hAnsi="Calibri" w:cs="Calibri"/>
          <w:lang w:val="sr-Latn-ME"/>
        </w:rPr>
        <w:t xml:space="preserve"> DRI moraju biti urađene u skladu sa ustavnom zaštitom nezavisnosti DRI sa jedne strane i funkcionisanje</w:t>
      </w:r>
      <w:r w:rsidR="00294CD4" w:rsidRPr="00294CD4">
        <w:rPr>
          <w:rFonts w:ascii="Calibri" w:hAnsi="Calibri" w:cs="Calibri"/>
          <w:lang w:val="sr-Latn-ME"/>
        </w:rPr>
        <w:t>m</w:t>
      </w:r>
      <w:r w:rsidR="00536AE0">
        <w:rPr>
          <w:rFonts w:ascii="Calibri" w:hAnsi="Calibri" w:cs="Calibri"/>
          <w:lang w:val="sr-Latn-ME"/>
        </w:rPr>
        <w:t xml:space="preserve"> I</w:t>
      </w:r>
      <w:r w:rsidRPr="00294CD4">
        <w:rPr>
          <w:rFonts w:ascii="Calibri" w:hAnsi="Calibri" w:cs="Calibri"/>
          <w:lang w:val="sr-Latn-ME"/>
        </w:rPr>
        <w:t>nstitucije s druge</w:t>
      </w:r>
      <w:r w:rsidR="00536AE0">
        <w:rPr>
          <w:rFonts w:ascii="Calibri" w:hAnsi="Calibri" w:cs="Calibri"/>
          <w:lang w:val="sr-Latn-ME"/>
        </w:rPr>
        <w:t xml:space="preserve"> strane</w:t>
      </w:r>
      <w:r w:rsidRPr="00294CD4">
        <w:rPr>
          <w:rFonts w:ascii="Calibri" w:hAnsi="Calibri" w:cs="Calibri"/>
          <w:lang w:val="sr-Latn-ME"/>
        </w:rPr>
        <w:t xml:space="preserve">. Prema članu 144. stav 1. Ustava Crne Gore „Državna revizorska institucija Crne </w:t>
      </w:r>
      <w:r w:rsidRPr="00294CD4">
        <w:rPr>
          <w:rFonts w:ascii="Calibri" w:hAnsi="Calibri" w:cs="Calibri"/>
          <w:lang w:val="sr-Latn-ME"/>
        </w:rPr>
        <w:lastRenderedPageBreak/>
        <w:t>Gore je nezavisan i vrhovni organ</w:t>
      </w:r>
      <w:r w:rsidR="00294CD4" w:rsidRPr="00294CD4">
        <w:rPr>
          <w:rFonts w:ascii="Calibri" w:hAnsi="Calibri" w:cs="Calibri"/>
          <w:lang w:val="sr-Latn-ME"/>
        </w:rPr>
        <w:t xml:space="preserve"> državne revizije</w:t>
      </w:r>
      <w:r w:rsidRPr="00294CD4">
        <w:rPr>
          <w:rFonts w:ascii="Calibri" w:hAnsi="Calibri" w:cs="Calibri"/>
          <w:lang w:val="sr-Latn-ME"/>
        </w:rPr>
        <w:t xml:space="preserve">“. Ova nezavisnost je trenutno prevedena Zakonom o </w:t>
      </w:r>
      <w:r w:rsidR="00294CD4" w:rsidRPr="00294CD4">
        <w:rPr>
          <w:rFonts w:ascii="Calibri" w:hAnsi="Calibri" w:cs="Calibri"/>
          <w:lang w:val="sr-Latn-ME"/>
        </w:rPr>
        <w:t>DRI</w:t>
      </w:r>
      <w:r w:rsidRPr="00294CD4">
        <w:rPr>
          <w:rFonts w:ascii="Calibri" w:hAnsi="Calibri" w:cs="Calibri"/>
          <w:lang w:val="sr-Latn-ME"/>
        </w:rPr>
        <w:t xml:space="preserve"> u različit</w:t>
      </w:r>
      <w:r w:rsidR="00294CD4" w:rsidRPr="00294CD4">
        <w:rPr>
          <w:rFonts w:ascii="Calibri" w:hAnsi="Calibri" w:cs="Calibri"/>
          <w:lang w:val="sr-Latn-ME"/>
        </w:rPr>
        <w:t>im</w:t>
      </w:r>
      <w:r w:rsidRPr="00294CD4">
        <w:rPr>
          <w:rFonts w:ascii="Calibri" w:hAnsi="Calibri" w:cs="Calibri"/>
          <w:lang w:val="sr-Latn-ME"/>
        </w:rPr>
        <w:t xml:space="preserve"> aspekt</w:t>
      </w:r>
      <w:r w:rsidR="00294CD4" w:rsidRPr="00294CD4">
        <w:rPr>
          <w:rFonts w:ascii="Calibri" w:hAnsi="Calibri" w:cs="Calibri"/>
          <w:lang w:val="sr-Latn-ME"/>
        </w:rPr>
        <w:t>ima</w:t>
      </w:r>
      <w:r w:rsidRPr="00294CD4">
        <w:rPr>
          <w:rFonts w:ascii="Calibri" w:hAnsi="Calibri" w:cs="Calibri"/>
          <w:lang w:val="sr-Latn-ME"/>
        </w:rPr>
        <w:t xml:space="preserve">, od kojih je jedan neograničen mandat članova DRI prema članu 34. </w:t>
      </w:r>
      <w:r w:rsidR="00294CD4" w:rsidRPr="00294CD4">
        <w:rPr>
          <w:rFonts w:ascii="Calibri" w:hAnsi="Calibri" w:cs="Calibri"/>
          <w:lang w:val="sr-Latn-ME"/>
        </w:rPr>
        <w:t>Z</w:t>
      </w:r>
      <w:r w:rsidRPr="00294CD4">
        <w:rPr>
          <w:rFonts w:ascii="Calibri" w:hAnsi="Calibri" w:cs="Calibri"/>
          <w:lang w:val="sr-Latn-ME"/>
        </w:rPr>
        <w:t>akona. Sadašnji članovi DRI imenovani su u skl</w:t>
      </w:r>
      <w:r w:rsidR="00294CD4" w:rsidRPr="00294CD4">
        <w:rPr>
          <w:rFonts w:ascii="Calibri" w:hAnsi="Calibri" w:cs="Calibri"/>
          <w:lang w:val="sr-Latn-ME"/>
        </w:rPr>
        <w:t>adu sa ovim principom i to predstavlja di</w:t>
      </w:r>
      <w:r w:rsidRPr="00294CD4">
        <w:rPr>
          <w:rFonts w:ascii="Calibri" w:hAnsi="Calibri" w:cs="Calibri"/>
          <w:lang w:val="sr-Latn-ME"/>
        </w:rPr>
        <w:t>o shvatanja nezavisnosti DRI u trenutku njihovog imenovanja.</w:t>
      </w:r>
    </w:p>
    <w:p w14:paraId="502B2E04" w14:textId="77777777" w:rsidR="00F20F73" w:rsidRPr="00294CD4" w:rsidRDefault="00F20F73" w:rsidP="00F20F73">
      <w:pPr>
        <w:rPr>
          <w:rFonts w:ascii="Calibri" w:hAnsi="Calibri" w:cs="Calibri"/>
          <w:lang w:val="sr-Latn-ME"/>
        </w:rPr>
      </w:pPr>
    </w:p>
    <w:p w14:paraId="5CCF8A42" w14:textId="326C35FC" w:rsidR="00294CD4" w:rsidRPr="0085170F" w:rsidRDefault="00294CD4" w:rsidP="00294CD4">
      <w:pPr>
        <w:rPr>
          <w:rFonts w:ascii="Calibri" w:hAnsi="Calibri" w:cs="Calibri"/>
          <w:lang w:val="sr-Latn-ME"/>
        </w:rPr>
      </w:pPr>
      <w:r w:rsidRPr="0085170F">
        <w:rPr>
          <w:rFonts w:ascii="Calibri" w:hAnsi="Calibri" w:cs="Calibri"/>
          <w:lang w:val="sr-Latn-ME"/>
        </w:rPr>
        <w:t xml:space="preserve">Radi zaštite nezavisnosti DRI kao institucije, ali i obezbjeđivanja njenog kontinuiteta, izmjene propisa o mandatu članova </w:t>
      </w:r>
      <w:r w:rsidR="003311B9" w:rsidRPr="0085170F">
        <w:rPr>
          <w:rFonts w:ascii="Calibri" w:hAnsi="Calibri" w:cs="Calibri"/>
          <w:lang w:val="sr-Latn-ME"/>
        </w:rPr>
        <w:t xml:space="preserve">Senata </w:t>
      </w:r>
      <w:r w:rsidRPr="0085170F">
        <w:rPr>
          <w:rFonts w:ascii="Calibri" w:hAnsi="Calibri" w:cs="Calibri"/>
          <w:lang w:val="sr-Latn-ME"/>
        </w:rPr>
        <w:t>ne bi trebalo da dovedu do automatskog razrješenja dosadašnjih članova.</w:t>
      </w:r>
      <w:r w:rsidR="003311B9" w:rsidRPr="0085170F">
        <w:rPr>
          <w:rFonts w:ascii="Calibri" w:hAnsi="Calibri" w:cs="Calibri"/>
          <w:lang w:val="sr-Latn-ME"/>
        </w:rPr>
        <w:t xml:space="preserve"> U suprotnom, prosta većina u P</w:t>
      </w:r>
      <w:r w:rsidRPr="0085170F">
        <w:rPr>
          <w:rFonts w:ascii="Calibri" w:hAnsi="Calibri" w:cs="Calibri"/>
          <w:lang w:val="sr-Latn-ME"/>
        </w:rPr>
        <w:t>arlamentu bila bi dovoljna svaki put kada više ne bi bio poželjan član VRI da se izmijeni zakon i omogući njegovo razrješenje. Takva praksa bi bila neustavna jer sam ustav štiti nezavisnost DRI. Takva praksa bi takođe predstavljala kršenje postojećih standarda o nezavisnosti DRI, koji, kao što smo vidjeli u prethodnom tekstu, podrazumjevaju zaštitu članova DRI.</w:t>
      </w:r>
    </w:p>
    <w:p w14:paraId="20B89AA5" w14:textId="5708989B" w:rsidR="0093714F" w:rsidRPr="0085170F" w:rsidRDefault="0093714F" w:rsidP="00DF4DE6">
      <w:pPr>
        <w:rPr>
          <w:rFonts w:ascii="Calibri" w:hAnsi="Calibri" w:cs="Calibri"/>
          <w:lang w:val="sr-Latn-ME"/>
        </w:rPr>
      </w:pPr>
    </w:p>
    <w:p w14:paraId="567F3325" w14:textId="59244C63" w:rsidR="0093714F" w:rsidRPr="0085170F" w:rsidRDefault="0093714F" w:rsidP="0093714F">
      <w:pPr>
        <w:rPr>
          <w:rFonts w:ascii="Calibri" w:hAnsi="Calibri" w:cs="Calibri"/>
          <w:lang w:val="sr-Latn-ME"/>
        </w:rPr>
      </w:pPr>
      <w:r w:rsidRPr="0085170F">
        <w:rPr>
          <w:rFonts w:ascii="Calibri" w:hAnsi="Calibri" w:cs="Calibri"/>
          <w:lang w:val="sr-Latn-ME"/>
        </w:rPr>
        <w:t>S druge strane, izm</w:t>
      </w:r>
      <w:r w:rsidR="00294CD4" w:rsidRPr="0085170F">
        <w:rPr>
          <w:rFonts w:ascii="Calibri" w:hAnsi="Calibri" w:cs="Calibri"/>
          <w:lang w:val="sr-Latn-ME"/>
        </w:rPr>
        <w:t>j</w:t>
      </w:r>
      <w:r w:rsidRPr="0085170F">
        <w:rPr>
          <w:rFonts w:ascii="Calibri" w:hAnsi="Calibri" w:cs="Calibri"/>
          <w:lang w:val="sr-Latn-ME"/>
        </w:rPr>
        <w:t xml:space="preserve">ene zakona u pogledu mandata članova </w:t>
      </w:r>
      <w:r w:rsidR="003311B9" w:rsidRPr="0085170F">
        <w:rPr>
          <w:rFonts w:ascii="Calibri" w:hAnsi="Calibri" w:cs="Calibri"/>
          <w:lang w:val="sr-Latn-ME"/>
        </w:rPr>
        <w:t xml:space="preserve">Senata </w:t>
      </w:r>
      <w:r w:rsidRPr="0085170F">
        <w:rPr>
          <w:rFonts w:ascii="Calibri" w:hAnsi="Calibri" w:cs="Calibri"/>
          <w:lang w:val="sr-Latn-ME"/>
        </w:rPr>
        <w:t>DRI takođe moraju biti omogućene Skupštini. Stoga je potrebno pronaći prelazno r</w:t>
      </w:r>
      <w:r w:rsidR="00294CD4" w:rsidRPr="0085170F">
        <w:rPr>
          <w:rFonts w:ascii="Calibri" w:hAnsi="Calibri" w:cs="Calibri"/>
          <w:lang w:val="sr-Latn-ME"/>
        </w:rPr>
        <w:t>j</w:t>
      </w:r>
      <w:r w:rsidRPr="0085170F">
        <w:rPr>
          <w:rFonts w:ascii="Calibri" w:hAnsi="Calibri" w:cs="Calibri"/>
          <w:lang w:val="sr-Latn-ME"/>
        </w:rPr>
        <w:t xml:space="preserve">ešenje koje balansira želju Skupštine da ograniči mandat članova </w:t>
      </w:r>
      <w:r w:rsidR="003311B9" w:rsidRPr="0085170F">
        <w:rPr>
          <w:rFonts w:ascii="Calibri" w:hAnsi="Calibri" w:cs="Calibri"/>
          <w:lang w:val="sr-Latn-ME"/>
        </w:rPr>
        <w:t xml:space="preserve">Senata </w:t>
      </w:r>
      <w:r w:rsidRPr="0085170F">
        <w:rPr>
          <w:rFonts w:ascii="Calibri" w:hAnsi="Calibri" w:cs="Calibri"/>
          <w:lang w:val="sr-Latn-ME"/>
        </w:rPr>
        <w:t>DRI i zaštiti nezavisnost DRI.</w:t>
      </w:r>
    </w:p>
    <w:p w14:paraId="76295457" w14:textId="77777777" w:rsidR="00DF4DE6" w:rsidRPr="00294CD4" w:rsidRDefault="00DF4DE6" w:rsidP="00DF4DE6">
      <w:pPr>
        <w:rPr>
          <w:rFonts w:ascii="Calibri" w:hAnsi="Calibri" w:cs="Calibri"/>
          <w:lang w:val="sr-Latn-ME"/>
        </w:rPr>
      </w:pPr>
    </w:p>
    <w:p w14:paraId="3DCD3850" w14:textId="74641D0F" w:rsidR="00DF4DE6" w:rsidRPr="00294CD4" w:rsidRDefault="00294CD4" w:rsidP="00DF4DE6">
      <w:pPr>
        <w:rPr>
          <w:rFonts w:ascii="Calibri" w:hAnsi="Calibri" w:cs="Calibri"/>
          <w:lang w:val="sr-Latn-ME"/>
        </w:rPr>
      </w:pPr>
      <w:r w:rsidRPr="00294CD4">
        <w:rPr>
          <w:rFonts w:ascii="Calibri" w:hAnsi="Calibri" w:cs="Calibri"/>
          <w:lang w:val="sr-Latn-ME"/>
        </w:rPr>
        <w:t>Nekoliko rješenja je moguće postaviti. Sadašnji članovi Senata mogu na primjer</w:t>
      </w:r>
      <w:r w:rsidR="00DF4DE6" w:rsidRPr="00294CD4">
        <w:rPr>
          <w:rFonts w:ascii="Calibri" w:hAnsi="Calibri" w:cs="Calibri"/>
          <w:lang w:val="sr-Latn-ME"/>
        </w:rPr>
        <w:t xml:space="preserve">: </w:t>
      </w:r>
    </w:p>
    <w:p w14:paraId="09309B4A" w14:textId="604A0BB9" w:rsidR="00F20F73" w:rsidRPr="0085170F" w:rsidRDefault="00294CD4" w:rsidP="00294CD4">
      <w:pPr>
        <w:pStyle w:val="ListParagraph"/>
        <w:numPr>
          <w:ilvl w:val="0"/>
          <w:numId w:val="15"/>
        </w:numPr>
        <w:rPr>
          <w:rFonts w:ascii="Calibri" w:hAnsi="Calibri" w:cs="Calibri"/>
          <w:lang w:val="sr-Latn-ME"/>
        </w:rPr>
      </w:pPr>
      <w:r w:rsidRPr="0085170F">
        <w:rPr>
          <w:rFonts w:ascii="Calibri" w:hAnsi="Calibri" w:cs="Calibri"/>
          <w:lang w:val="sr-Latn-ME"/>
        </w:rPr>
        <w:t>da se smatraju zaštićenim trenutnim pravnim okvirom do navršenih godina za penzionisanje</w:t>
      </w:r>
      <w:r w:rsidR="00F20F73" w:rsidRPr="0085170F">
        <w:rPr>
          <w:rFonts w:ascii="Calibri" w:hAnsi="Calibri" w:cs="Calibri"/>
          <w:lang w:val="sr-Latn-ME"/>
        </w:rPr>
        <w:t>;</w:t>
      </w:r>
    </w:p>
    <w:p w14:paraId="28C22546" w14:textId="3FF43091" w:rsidR="00F20F73" w:rsidRPr="0085170F" w:rsidRDefault="00294CD4" w:rsidP="00F20F73">
      <w:pPr>
        <w:pStyle w:val="ListParagraph"/>
        <w:numPr>
          <w:ilvl w:val="0"/>
          <w:numId w:val="15"/>
        </w:numPr>
        <w:rPr>
          <w:rFonts w:ascii="Calibri" w:hAnsi="Calibri" w:cs="Calibri"/>
          <w:lang w:val="sr-Latn-ME"/>
        </w:rPr>
      </w:pPr>
      <w:r w:rsidRPr="0085170F">
        <w:rPr>
          <w:rFonts w:ascii="Calibri" w:hAnsi="Calibri" w:cs="Calibri"/>
          <w:lang w:val="sr-Latn-ME"/>
        </w:rPr>
        <w:t>bude imenovani na dužinu mandata koja će biti utvrđena izmenjenom zakona</w:t>
      </w:r>
      <w:r w:rsidR="00F20F73" w:rsidRPr="0085170F">
        <w:rPr>
          <w:rFonts w:ascii="Calibri" w:hAnsi="Calibri" w:cs="Calibri"/>
          <w:lang w:val="sr-Latn-ME"/>
        </w:rPr>
        <w:t>;</w:t>
      </w:r>
    </w:p>
    <w:p w14:paraId="3B1CBB88" w14:textId="4BD954A3" w:rsidR="00F20F73" w:rsidRPr="0085170F" w:rsidRDefault="00294CD4" w:rsidP="00294CD4">
      <w:pPr>
        <w:pStyle w:val="ListParagraph"/>
        <w:numPr>
          <w:ilvl w:val="0"/>
          <w:numId w:val="15"/>
        </w:numPr>
        <w:rPr>
          <w:rFonts w:ascii="Calibri" w:hAnsi="Calibri" w:cs="Calibri"/>
          <w:lang w:val="sr-Latn-ME"/>
        </w:rPr>
      </w:pPr>
      <w:r w:rsidRPr="0085170F">
        <w:rPr>
          <w:rFonts w:ascii="Calibri" w:hAnsi="Calibri" w:cs="Calibri"/>
          <w:lang w:val="sr-Latn-ME"/>
        </w:rPr>
        <w:t>Ponuditi se i druga prelazna rešenja do navršenih zakonom propisanih godina za odlazak u penziju prema važećem zakonskom osnovu</w:t>
      </w:r>
      <w:r w:rsidR="00F20F73" w:rsidRPr="0085170F">
        <w:rPr>
          <w:rFonts w:ascii="Calibri" w:hAnsi="Calibri" w:cs="Calibri"/>
          <w:lang w:val="sr-Latn-ME"/>
        </w:rPr>
        <w:t>.</w:t>
      </w:r>
    </w:p>
    <w:p w14:paraId="61CEE32E" w14:textId="5EA72FF4" w:rsidR="0093714F" w:rsidRPr="00294CD4" w:rsidRDefault="0093714F" w:rsidP="0093714F">
      <w:pPr>
        <w:rPr>
          <w:rFonts w:ascii="Calibri" w:hAnsi="Calibri" w:cs="Calibri"/>
          <w:lang w:val="sr-Latn-ME"/>
        </w:rPr>
      </w:pPr>
    </w:p>
    <w:p w14:paraId="4A320D56" w14:textId="087DF387" w:rsidR="0093714F" w:rsidRPr="00294CD4" w:rsidRDefault="0093714F" w:rsidP="00F20F73">
      <w:pPr>
        <w:rPr>
          <w:rFonts w:ascii="Calibri" w:hAnsi="Calibri" w:cs="Calibri"/>
          <w:lang w:val="sr-Latn-ME"/>
        </w:rPr>
      </w:pPr>
      <w:r w:rsidRPr="00294CD4">
        <w:rPr>
          <w:rFonts w:ascii="Calibri" w:hAnsi="Calibri" w:cs="Calibri"/>
          <w:lang w:val="sr-Latn-ME"/>
        </w:rPr>
        <w:t>U svakom sluča</w:t>
      </w:r>
      <w:r w:rsidRPr="0085170F">
        <w:rPr>
          <w:rFonts w:ascii="Calibri" w:hAnsi="Calibri" w:cs="Calibri"/>
          <w:lang w:val="sr-Latn-ME"/>
        </w:rPr>
        <w:t>ju, za kontinuitet rada DRI potrebno je obezb</w:t>
      </w:r>
      <w:r w:rsidR="00FB0E2B" w:rsidRPr="0085170F">
        <w:rPr>
          <w:rFonts w:ascii="Calibri" w:hAnsi="Calibri" w:cs="Calibri"/>
          <w:lang w:val="sr-Latn-ME"/>
        </w:rPr>
        <w:t>ij</w:t>
      </w:r>
      <w:r w:rsidRPr="0085170F">
        <w:rPr>
          <w:rFonts w:ascii="Calibri" w:hAnsi="Calibri" w:cs="Calibri"/>
          <w:lang w:val="sr-Latn-ME"/>
        </w:rPr>
        <w:t xml:space="preserve">editi postepeno </w:t>
      </w:r>
      <w:r w:rsidR="00FB0E2B" w:rsidRPr="0085170F">
        <w:rPr>
          <w:rFonts w:ascii="Calibri" w:hAnsi="Calibri" w:cs="Calibri"/>
          <w:lang w:val="sr-Latn-ME"/>
        </w:rPr>
        <w:t>uvođenje novih</w:t>
      </w:r>
      <w:r w:rsidRPr="0085170F">
        <w:rPr>
          <w:rFonts w:ascii="Calibri" w:hAnsi="Calibri" w:cs="Calibri"/>
          <w:lang w:val="sr-Latn-ME"/>
        </w:rPr>
        <w:t xml:space="preserve"> članova DRI. Svakako treba izb</w:t>
      </w:r>
      <w:r w:rsidR="00FB0E2B" w:rsidRPr="0085170F">
        <w:rPr>
          <w:rFonts w:ascii="Calibri" w:hAnsi="Calibri" w:cs="Calibri"/>
          <w:lang w:val="sr-Latn-ME"/>
        </w:rPr>
        <w:t>j</w:t>
      </w:r>
      <w:r w:rsidRPr="0085170F">
        <w:rPr>
          <w:rFonts w:ascii="Calibri" w:hAnsi="Calibri" w:cs="Calibri"/>
          <w:lang w:val="sr-Latn-ME"/>
        </w:rPr>
        <w:t>egavati da se sva četiri sadašnja člana sm</w:t>
      </w:r>
      <w:r w:rsidR="00FB0E2B" w:rsidRPr="0085170F">
        <w:rPr>
          <w:rFonts w:ascii="Calibri" w:hAnsi="Calibri" w:cs="Calibri"/>
          <w:lang w:val="sr-Latn-ME"/>
        </w:rPr>
        <w:t>j</w:t>
      </w:r>
      <w:r w:rsidRPr="0085170F">
        <w:rPr>
          <w:rFonts w:ascii="Calibri" w:hAnsi="Calibri" w:cs="Calibri"/>
          <w:lang w:val="sr-Latn-ME"/>
        </w:rPr>
        <w:t>enjuju u istom trenutku. Ovo je neophodno i zbog buduće</w:t>
      </w:r>
      <w:r w:rsidR="00FB0E2B" w:rsidRPr="0085170F">
        <w:rPr>
          <w:rFonts w:ascii="Calibri" w:hAnsi="Calibri" w:cs="Calibri"/>
          <w:lang w:val="sr-Latn-ME"/>
        </w:rPr>
        <w:t xml:space="preserve">g imenovanja novih </w:t>
      </w:r>
      <w:r w:rsidRPr="0085170F">
        <w:rPr>
          <w:rFonts w:ascii="Calibri" w:hAnsi="Calibri" w:cs="Calibri"/>
          <w:lang w:val="sr-Latn-ME"/>
        </w:rPr>
        <w:t xml:space="preserve">članova. U slučaju da </w:t>
      </w:r>
      <w:r w:rsidR="00FB0E2B" w:rsidRPr="0085170F">
        <w:rPr>
          <w:rFonts w:ascii="Calibri" w:hAnsi="Calibri" w:cs="Calibri"/>
          <w:lang w:val="sr-Latn-ME"/>
        </w:rPr>
        <w:t xml:space="preserve">se </w:t>
      </w:r>
      <w:r w:rsidRPr="0085170F">
        <w:rPr>
          <w:rFonts w:ascii="Calibri" w:hAnsi="Calibri" w:cs="Calibri"/>
          <w:lang w:val="sr-Latn-ME"/>
        </w:rPr>
        <w:t xml:space="preserve">sada svi </w:t>
      </w:r>
      <w:r w:rsidR="00FB0E2B" w:rsidRPr="0085170F">
        <w:rPr>
          <w:rFonts w:ascii="Calibri" w:hAnsi="Calibri" w:cs="Calibri"/>
          <w:lang w:val="sr-Latn-ME"/>
        </w:rPr>
        <w:t>promijene</w:t>
      </w:r>
      <w:r w:rsidRPr="0085170F">
        <w:rPr>
          <w:rFonts w:ascii="Calibri" w:hAnsi="Calibri" w:cs="Calibri"/>
          <w:lang w:val="sr-Latn-ME"/>
        </w:rPr>
        <w:t xml:space="preserve"> u isto vr</w:t>
      </w:r>
      <w:r w:rsidR="00FB0E2B" w:rsidRPr="0085170F">
        <w:rPr>
          <w:rFonts w:ascii="Calibri" w:hAnsi="Calibri" w:cs="Calibri"/>
          <w:lang w:val="sr-Latn-ME"/>
        </w:rPr>
        <w:t>ij</w:t>
      </w:r>
      <w:r w:rsidRPr="0085170F">
        <w:rPr>
          <w:rFonts w:ascii="Calibri" w:hAnsi="Calibri" w:cs="Calibri"/>
          <w:lang w:val="sr-Latn-ME"/>
        </w:rPr>
        <w:t xml:space="preserve">eme, to bi </w:t>
      </w:r>
      <w:r w:rsidR="00FB0E2B" w:rsidRPr="0085170F">
        <w:rPr>
          <w:rFonts w:ascii="Calibri" w:hAnsi="Calibri" w:cs="Calibri"/>
          <w:lang w:val="sr-Latn-ME"/>
        </w:rPr>
        <w:t xml:space="preserve">podrazumjevalo da se isto desi i </w:t>
      </w:r>
      <w:r w:rsidRPr="0085170F">
        <w:rPr>
          <w:rFonts w:ascii="Calibri" w:hAnsi="Calibri" w:cs="Calibri"/>
          <w:lang w:val="sr-Latn-ME"/>
        </w:rPr>
        <w:t>po isteku mandata</w:t>
      </w:r>
      <w:r w:rsidR="00FB0E2B" w:rsidRPr="0085170F">
        <w:rPr>
          <w:rFonts w:ascii="Calibri" w:hAnsi="Calibri" w:cs="Calibri"/>
          <w:lang w:val="sr-Latn-ME"/>
        </w:rPr>
        <w:t xml:space="preserve"> novih članova</w:t>
      </w:r>
      <w:r w:rsidRPr="0085170F">
        <w:rPr>
          <w:rFonts w:ascii="Calibri" w:hAnsi="Calibri" w:cs="Calibri"/>
          <w:lang w:val="sr-Latn-ME"/>
        </w:rPr>
        <w:t>, što bi svaki put bilo krajnje ometajuće za rad institucije i nosilo bi rizik da ne mogu da obavljaju svoje zakonske obaveze na vr</w:t>
      </w:r>
      <w:r w:rsidR="003311B9" w:rsidRPr="0085170F">
        <w:rPr>
          <w:rFonts w:ascii="Calibri" w:hAnsi="Calibri" w:cs="Calibri"/>
          <w:lang w:val="sr-Latn-ME"/>
        </w:rPr>
        <w:t>ij</w:t>
      </w:r>
      <w:r w:rsidRPr="0085170F">
        <w:rPr>
          <w:rFonts w:ascii="Calibri" w:hAnsi="Calibri" w:cs="Calibri"/>
          <w:lang w:val="sr-Latn-ME"/>
        </w:rPr>
        <w:t xml:space="preserve">eme i </w:t>
      </w:r>
      <w:r w:rsidR="00FB0E2B" w:rsidRPr="0085170F">
        <w:rPr>
          <w:rFonts w:ascii="Calibri" w:hAnsi="Calibri" w:cs="Calibri"/>
          <w:lang w:val="sr-Latn-ME"/>
        </w:rPr>
        <w:t>kvalitetno</w:t>
      </w:r>
      <w:r w:rsidRPr="0085170F">
        <w:rPr>
          <w:rFonts w:ascii="Calibri" w:hAnsi="Calibri" w:cs="Calibri"/>
          <w:lang w:val="sr-Latn-ME"/>
        </w:rPr>
        <w:t>.</w:t>
      </w:r>
    </w:p>
    <w:p w14:paraId="1664CA7B" w14:textId="77777777" w:rsidR="00F20F73" w:rsidRPr="00294CD4" w:rsidRDefault="00F20F73" w:rsidP="00F20F73">
      <w:pPr>
        <w:rPr>
          <w:rFonts w:ascii="Calibri" w:hAnsi="Calibri" w:cs="Calibri"/>
          <w:lang w:val="sr-Latn-ME"/>
        </w:rPr>
      </w:pPr>
    </w:p>
    <w:p w14:paraId="33B88D4D" w14:textId="294C753C" w:rsidR="00F20F73" w:rsidRDefault="0093714F" w:rsidP="00F20F73">
      <w:pPr>
        <w:rPr>
          <w:rFonts w:ascii="Calibri" w:hAnsi="Calibri" w:cs="Calibri"/>
          <w:b/>
          <w:bCs/>
          <w:u w:val="single"/>
          <w:lang w:val="sr-Latn-ME"/>
        </w:rPr>
      </w:pPr>
      <w:r w:rsidRPr="003311B9">
        <w:rPr>
          <w:rFonts w:ascii="Calibri" w:hAnsi="Calibri" w:cs="Calibri"/>
          <w:b/>
          <w:bCs/>
          <w:u w:val="single"/>
          <w:lang w:val="sr-Latn-ME"/>
        </w:rPr>
        <w:t>Zaključak</w:t>
      </w:r>
      <w:r w:rsidR="00F20F73" w:rsidRPr="003311B9">
        <w:rPr>
          <w:rFonts w:ascii="Calibri" w:hAnsi="Calibri" w:cs="Calibri"/>
          <w:b/>
          <w:bCs/>
          <w:u w:val="single"/>
          <w:lang w:val="sr-Latn-ME"/>
        </w:rPr>
        <w:t>:</w:t>
      </w:r>
    </w:p>
    <w:p w14:paraId="753A5423" w14:textId="77777777" w:rsidR="003311B9" w:rsidRPr="003311B9" w:rsidRDefault="003311B9" w:rsidP="00F20F73">
      <w:pPr>
        <w:rPr>
          <w:rFonts w:ascii="Calibri" w:hAnsi="Calibri" w:cs="Calibri"/>
          <w:b/>
          <w:bCs/>
          <w:u w:val="single"/>
          <w:lang w:val="sr-Latn-ME"/>
        </w:rPr>
      </w:pPr>
    </w:p>
    <w:p w14:paraId="4A119ACA" w14:textId="06DB88C4" w:rsidR="00F20F73" w:rsidRPr="0085170F" w:rsidRDefault="0093714F" w:rsidP="00F20F73">
      <w:pPr>
        <w:rPr>
          <w:rFonts w:ascii="Calibri" w:hAnsi="Calibri" w:cs="Calibri"/>
          <w:lang w:val="sr-Latn-ME"/>
        </w:rPr>
      </w:pPr>
      <w:r w:rsidRPr="0085170F">
        <w:rPr>
          <w:rFonts w:ascii="Calibri" w:hAnsi="Calibri" w:cs="Calibri"/>
          <w:lang w:val="sr-Latn-ME"/>
        </w:rPr>
        <w:t>U slučaju da mandat članova bude vremenski ograničen izm</w:t>
      </w:r>
      <w:r w:rsidR="00FB0E2B" w:rsidRPr="0085170F">
        <w:rPr>
          <w:rFonts w:ascii="Calibri" w:hAnsi="Calibri" w:cs="Calibri"/>
          <w:lang w:val="sr-Latn-ME"/>
        </w:rPr>
        <w:t>jenama Z</w:t>
      </w:r>
      <w:r w:rsidRPr="0085170F">
        <w:rPr>
          <w:rFonts w:ascii="Calibri" w:hAnsi="Calibri" w:cs="Calibri"/>
          <w:lang w:val="sr-Latn-ME"/>
        </w:rPr>
        <w:t>akona o DRI, potrebno je pronaći prelazno r</w:t>
      </w:r>
      <w:r w:rsidR="00FB0E2B" w:rsidRPr="0085170F">
        <w:rPr>
          <w:rFonts w:ascii="Calibri" w:hAnsi="Calibri" w:cs="Calibri"/>
          <w:lang w:val="sr-Latn-ME"/>
        </w:rPr>
        <w:t>j</w:t>
      </w:r>
      <w:r w:rsidRPr="0085170F">
        <w:rPr>
          <w:rFonts w:ascii="Calibri" w:hAnsi="Calibri" w:cs="Calibri"/>
          <w:lang w:val="sr-Latn-ME"/>
        </w:rPr>
        <w:t xml:space="preserve">ešenje za zaštitu nezavisnosti i dobrog funkcionisanja DRI kao </w:t>
      </w:r>
      <w:r w:rsidR="00FB0E2B" w:rsidRPr="0085170F">
        <w:rPr>
          <w:rFonts w:ascii="Calibri" w:hAnsi="Calibri" w:cs="Calibri"/>
          <w:lang w:val="sr-Latn-ME"/>
        </w:rPr>
        <w:t>I</w:t>
      </w:r>
      <w:r w:rsidRPr="0085170F">
        <w:rPr>
          <w:rFonts w:ascii="Calibri" w:hAnsi="Calibri" w:cs="Calibri"/>
          <w:lang w:val="sr-Latn-ME"/>
        </w:rPr>
        <w:t>nstitucije. Preporučujemo da se razmotre različita alternativna r</w:t>
      </w:r>
      <w:r w:rsidR="00FB0E2B" w:rsidRPr="0085170F">
        <w:rPr>
          <w:rFonts w:ascii="Calibri" w:hAnsi="Calibri" w:cs="Calibri"/>
          <w:lang w:val="sr-Latn-ME"/>
        </w:rPr>
        <w:t>ješenja u odnosu na</w:t>
      </w:r>
      <w:r w:rsidRPr="0085170F">
        <w:rPr>
          <w:rFonts w:ascii="Calibri" w:hAnsi="Calibri" w:cs="Calibri"/>
          <w:lang w:val="sr-Latn-ME"/>
        </w:rPr>
        <w:t xml:space="preserve"> staž sadašnjih članova DRI (senatora). Treba izb</w:t>
      </w:r>
      <w:r w:rsidR="00FB0E2B" w:rsidRPr="0085170F">
        <w:rPr>
          <w:rFonts w:ascii="Calibri" w:hAnsi="Calibri" w:cs="Calibri"/>
          <w:lang w:val="sr-Latn-ME"/>
        </w:rPr>
        <w:t>j</w:t>
      </w:r>
      <w:r w:rsidRPr="0085170F">
        <w:rPr>
          <w:rFonts w:ascii="Calibri" w:hAnsi="Calibri" w:cs="Calibri"/>
          <w:lang w:val="sr-Latn-ME"/>
        </w:rPr>
        <w:t>egavati prom</w:t>
      </w:r>
      <w:r w:rsidR="00FB0E2B" w:rsidRPr="0085170F">
        <w:rPr>
          <w:rFonts w:ascii="Calibri" w:hAnsi="Calibri" w:cs="Calibri"/>
          <w:lang w:val="sr-Latn-ME"/>
        </w:rPr>
        <w:t xml:space="preserve">jene svih senatora </w:t>
      </w:r>
      <w:r w:rsidRPr="0085170F">
        <w:rPr>
          <w:rFonts w:ascii="Calibri" w:hAnsi="Calibri" w:cs="Calibri"/>
          <w:lang w:val="sr-Latn-ME"/>
        </w:rPr>
        <w:t>u isto vr</w:t>
      </w:r>
      <w:r w:rsidR="00FB0E2B" w:rsidRPr="0085170F">
        <w:rPr>
          <w:rFonts w:ascii="Calibri" w:hAnsi="Calibri" w:cs="Calibri"/>
          <w:lang w:val="sr-Latn-ME"/>
        </w:rPr>
        <w:t>ij</w:t>
      </w:r>
      <w:r w:rsidRPr="0085170F">
        <w:rPr>
          <w:rFonts w:ascii="Calibri" w:hAnsi="Calibri" w:cs="Calibri"/>
          <w:lang w:val="sr-Latn-ME"/>
        </w:rPr>
        <w:t>eme.</w:t>
      </w:r>
    </w:p>
    <w:p w14:paraId="2D943C23" w14:textId="6F291F9F" w:rsidR="00836C7E" w:rsidRPr="00294CD4" w:rsidRDefault="00836C7E" w:rsidP="00F20F73">
      <w:pPr>
        <w:rPr>
          <w:rFonts w:ascii="Calibri" w:hAnsi="Calibri" w:cs="Calibri"/>
          <w:lang w:val="sr-Latn-ME"/>
        </w:rPr>
      </w:pPr>
    </w:p>
    <w:sectPr w:rsidR="00836C7E" w:rsidRPr="00294CD4" w:rsidSect="00023AD9">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1906" w:h="16838" w:code="9"/>
      <w:pgMar w:top="1814" w:right="1304" w:bottom="1758" w:left="1304" w:header="1247"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081E8" w14:textId="77777777" w:rsidR="00975A3C" w:rsidRDefault="00975A3C" w:rsidP="00CC3749"/>
  </w:endnote>
  <w:endnote w:type="continuationSeparator" w:id="0">
    <w:p w14:paraId="433A1756" w14:textId="77777777" w:rsidR="00975A3C" w:rsidRPr="00CF4424" w:rsidRDefault="00975A3C" w:rsidP="00CF4424">
      <w:pPr>
        <w:pStyle w:val="Footer"/>
        <w:jc w:val="both"/>
      </w:pPr>
    </w:p>
  </w:endnote>
  <w:endnote w:type="continuationNotice" w:id="1">
    <w:p w14:paraId="1A312DC0" w14:textId="77777777" w:rsidR="00975A3C" w:rsidRDefault="00975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217002386"/>
      <w:lock w:val="sdtLocked"/>
    </w:sdtPr>
    <w:sdtEndPr/>
    <w:sdtContent>
      <w:p w14:paraId="2D9FD6B1" w14:textId="77777777" w:rsidR="0093714F" w:rsidRDefault="0093714F" w:rsidP="004E100F">
        <w:pPr>
          <w:pStyle w:val="Footer"/>
          <w:jc w:val="right"/>
        </w:pPr>
        <w:r>
          <w:t xml:space="preserve"> </w:t>
        </w:r>
      </w:p>
    </w:sdtContent>
  </w:sdt>
  <w:sdt>
    <w:sdtPr>
      <w:alias w:val="Classification"/>
      <w:tag w:val="txtHeaderClassif"/>
      <w:id w:val="-1918931641"/>
      <w:lock w:val="sdtLocked"/>
    </w:sdtPr>
    <w:sdtEndPr/>
    <w:sdtContent>
      <w:p w14:paraId="67FC03D6" w14:textId="77777777" w:rsidR="0093714F" w:rsidRDefault="0093714F" w:rsidP="004E100F">
        <w:pPr>
          <w:pStyle w:val="FooterClassification"/>
          <w:jc w:val="left"/>
        </w:pPr>
        <w: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884096409"/>
      <w:lock w:val="sdtLocked"/>
    </w:sdtPr>
    <w:sdtEndPr/>
    <w:sdtContent>
      <w:p w14:paraId="1B599B85" w14:textId="77777777" w:rsidR="0093714F" w:rsidRPr="00FD7BD8" w:rsidRDefault="0093714F" w:rsidP="004E100F">
        <w:pPr>
          <w:pStyle w:val="Footer"/>
          <w:jc w:val="left"/>
          <w:rPr>
            <w:caps w:val="0"/>
            <w:szCs w:val="16"/>
          </w:rPr>
        </w:pPr>
        <w:r>
          <w:t xml:space="preserve"> </w:t>
        </w:r>
      </w:p>
    </w:sdtContent>
  </w:sdt>
  <w:sdt>
    <w:sdtPr>
      <w:alias w:val="Classification"/>
      <w:tag w:val="txtHeaderClassif"/>
      <w:id w:val="-311407045"/>
      <w:lock w:val="sdtLocked"/>
    </w:sdtPr>
    <w:sdtEndPr/>
    <w:sdtContent>
      <w:p w14:paraId="57AFFB22" w14:textId="77777777" w:rsidR="0093714F" w:rsidRPr="00FD7BD8" w:rsidRDefault="0093714F" w:rsidP="004E100F">
        <w:pPr>
          <w:pStyle w:val="FooterClassification"/>
          <w:rPr>
            <w:szCs w:val="16"/>
          </w:rPr>
        </w:pPr>
        <w: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margin" w:tblpXSpec="center" w:tblpY="1531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9131"/>
    </w:tblGrid>
    <w:tr w:rsidR="0093714F" w:rsidRPr="007C24FD" w14:paraId="28026DF5" w14:textId="77777777" w:rsidTr="001329A7">
      <w:trPr>
        <w:trHeight w:val="993"/>
      </w:trPr>
      <w:tc>
        <w:tcPr>
          <w:tcW w:w="1784" w:type="dxa"/>
          <w:tcBorders>
            <w:right w:val="single" w:sz="8" w:space="0" w:color="348E8C" w:themeColor="accent1"/>
          </w:tcBorders>
        </w:tcPr>
        <w:p w14:paraId="5CBB134B" w14:textId="77777777" w:rsidR="0093714F" w:rsidRPr="007C24FD" w:rsidRDefault="0093714F" w:rsidP="00B62302">
          <w:pPr>
            <w:spacing w:after="60"/>
            <w:jc w:val="left"/>
            <w:rPr>
              <w:rFonts w:ascii="Arial" w:hAnsi="Arial" w:cs="Arial"/>
              <w:color w:val="008080"/>
              <w:sz w:val="12"/>
              <w:szCs w:val="12"/>
              <w:lang w:val="fr-FR"/>
            </w:rPr>
          </w:pPr>
          <w:r w:rsidRPr="007C24FD">
            <w:rPr>
              <w:rFonts w:ascii="Arial" w:hAnsi="Arial" w:cs="Arial"/>
              <w:color w:val="008080"/>
              <w:sz w:val="12"/>
              <w:szCs w:val="12"/>
              <w:lang w:val="fr-FR"/>
            </w:rPr>
            <w:t>2 Rue André Pascal</w:t>
          </w:r>
          <w:r w:rsidRPr="007C24FD">
            <w:rPr>
              <w:rFonts w:ascii="Arial" w:hAnsi="Arial" w:cs="Arial"/>
              <w:color w:val="008080"/>
              <w:sz w:val="12"/>
              <w:szCs w:val="12"/>
              <w:lang w:val="fr-FR"/>
            </w:rPr>
            <w:br/>
            <w:t>75775 Paris Cedex 16</w:t>
          </w:r>
          <w:r w:rsidRPr="007C24FD">
            <w:rPr>
              <w:rFonts w:ascii="Arial" w:hAnsi="Arial" w:cs="Arial"/>
              <w:color w:val="008080"/>
              <w:sz w:val="12"/>
              <w:szCs w:val="12"/>
              <w:lang w:val="fr-FR"/>
            </w:rPr>
            <w:br/>
            <w:t>France</w:t>
          </w:r>
        </w:p>
        <w:p w14:paraId="0FE00A3A" w14:textId="77777777" w:rsidR="0093714F" w:rsidRPr="007C24FD" w:rsidRDefault="0093714F" w:rsidP="00B62302">
          <w:pPr>
            <w:spacing w:after="60"/>
            <w:jc w:val="left"/>
            <w:rPr>
              <w:rStyle w:val="Hyperlink"/>
              <w:rFonts w:ascii="Arial" w:hAnsi="Arial" w:cs="Arial"/>
              <w:color w:val="008080"/>
              <w:sz w:val="12"/>
              <w:szCs w:val="12"/>
              <w:lang w:val="fr-FR"/>
            </w:rPr>
          </w:pPr>
          <w:r w:rsidRPr="007C24FD">
            <w:rPr>
              <w:rFonts w:ascii="Arial" w:hAnsi="Arial" w:cs="Arial"/>
              <w:color w:val="008080"/>
              <w:sz w:val="12"/>
              <w:szCs w:val="12"/>
              <w:lang w:val="fr-FR"/>
            </w:rPr>
            <w:t xml:space="preserve">E-mail: </w:t>
          </w:r>
          <w:hyperlink r:id="rId1" w:history="1">
            <w:r w:rsidRPr="007C24FD">
              <w:rPr>
                <w:rStyle w:val="Hyperlink"/>
                <w:rFonts w:ascii="Arial" w:hAnsi="Arial" w:cs="Arial"/>
                <w:color w:val="008080"/>
                <w:sz w:val="12"/>
                <w:szCs w:val="12"/>
                <w:lang w:val="fr-FR"/>
              </w:rPr>
              <w:t>sigmaweb@oecd.org</w:t>
            </w:r>
          </w:hyperlink>
          <w:r w:rsidRPr="007C24FD">
            <w:rPr>
              <w:rFonts w:ascii="Arial" w:hAnsi="Arial" w:cs="Arial"/>
              <w:color w:val="008080"/>
              <w:sz w:val="12"/>
              <w:szCs w:val="12"/>
              <w:lang w:val="fr-FR"/>
            </w:rPr>
            <w:br/>
            <w:t>Tel: +33 (0) 1 45 24 82 00</w:t>
          </w:r>
        </w:p>
        <w:p w14:paraId="20F50EB7" w14:textId="77777777" w:rsidR="0093714F" w:rsidRPr="007C24FD" w:rsidRDefault="00975A3C" w:rsidP="00B62302">
          <w:pPr>
            <w:spacing w:after="60"/>
            <w:jc w:val="left"/>
            <w:rPr>
              <w:rFonts w:ascii="Arial" w:hAnsi="Arial" w:cs="Arial"/>
              <w:b/>
              <w:bCs/>
              <w:color w:val="008080"/>
              <w:sz w:val="12"/>
              <w:szCs w:val="12"/>
              <w:lang w:val="fr-FR"/>
            </w:rPr>
          </w:pPr>
          <w:hyperlink r:id="rId2" w:history="1">
            <w:r w:rsidR="0093714F" w:rsidRPr="007C24FD">
              <w:rPr>
                <w:rStyle w:val="Hyperlink"/>
                <w:rFonts w:ascii="Arial" w:hAnsi="Arial" w:cs="Arial"/>
                <w:b/>
                <w:bCs/>
                <w:color w:val="008080"/>
                <w:sz w:val="12"/>
                <w:szCs w:val="12"/>
                <w:lang w:val="fr-FR"/>
              </w:rPr>
              <w:t>www.sigmaweb.org</w:t>
            </w:r>
          </w:hyperlink>
        </w:p>
      </w:tc>
      <w:tc>
        <w:tcPr>
          <w:tcW w:w="9131" w:type="dxa"/>
          <w:tcBorders>
            <w:left w:val="single" w:sz="8" w:space="0" w:color="348E8C" w:themeColor="accent1"/>
          </w:tcBorders>
        </w:tcPr>
        <w:p w14:paraId="74424C6F" w14:textId="77777777" w:rsidR="0093714F" w:rsidRPr="007C24FD" w:rsidRDefault="0093714F" w:rsidP="00B62302">
          <w:pPr>
            <w:spacing w:after="60"/>
            <w:rPr>
              <w:rFonts w:ascii="Arial" w:hAnsi="Arial" w:cs="Arial"/>
              <w:color w:val="808080"/>
              <w:sz w:val="12"/>
              <w:szCs w:val="12"/>
            </w:rPr>
          </w:pPr>
          <w:r w:rsidRPr="007C24FD">
            <w:rPr>
              <w:rFonts w:ascii="Arial" w:hAnsi="Arial" w:cs="Arial"/>
              <w:color w:val="808080"/>
              <w:sz w:val="12"/>
              <w:szCs w:val="12"/>
            </w:rPr>
            <w:t>This document has been produced with the financial assistance of the European Union (EU). It should not be reported as representing the official views of the EU, the OECD or its member countries, or of partners participating in the SIGMA Programme. The opinions expressed and arguments employed are those of the authors.</w:t>
          </w:r>
        </w:p>
        <w:p w14:paraId="2E7B22E1" w14:textId="77777777" w:rsidR="0093714F" w:rsidRPr="007C24FD" w:rsidRDefault="0093714F" w:rsidP="00B62302">
          <w:pPr>
            <w:spacing w:after="60"/>
            <w:rPr>
              <w:rFonts w:ascii="Arial" w:hAnsi="Arial" w:cs="Arial"/>
              <w:color w:val="808080"/>
              <w:sz w:val="12"/>
              <w:szCs w:val="12"/>
            </w:rPr>
          </w:pPr>
          <w:r w:rsidRPr="007C24FD">
            <w:rPr>
              <w:rFonts w:ascii="Arial" w:hAnsi="Arial" w:cs="Arial"/>
              <w:color w:val="808080"/>
              <w:sz w:val="12"/>
              <w:szCs w:val="12"/>
            </w:rPr>
            <w:t>This document, as well as any data and any map included herein, are without prejudice to the status of or sovereignty over any territory, to the delimitation of international frontiers and boundaries and to the name of any territory, city or area.</w:t>
          </w:r>
        </w:p>
        <w:p w14:paraId="44F5E296" w14:textId="77777777" w:rsidR="0093714F" w:rsidRPr="007C24FD" w:rsidRDefault="0093714F" w:rsidP="00B62302">
          <w:pPr>
            <w:spacing w:after="60"/>
            <w:rPr>
              <w:rFonts w:ascii="Arial" w:hAnsi="Arial" w:cs="Arial"/>
              <w:color w:val="808080"/>
              <w:sz w:val="12"/>
              <w:szCs w:val="12"/>
            </w:rPr>
          </w:pPr>
          <w:r w:rsidRPr="007C24FD">
            <w:rPr>
              <w:rFonts w:ascii="Arial" w:hAnsi="Arial" w:cs="Arial"/>
              <w:color w:val="808080"/>
              <w:sz w:val="12"/>
              <w:szCs w:val="12"/>
            </w:rPr>
            <w:t xml:space="preserve">© OECD 2023 – The use of this material, whether digital or print, is governed by the Terms and Conditions to be found on the OECD website page </w:t>
          </w:r>
          <w:hyperlink r:id="rId3" w:history="1">
            <w:r w:rsidRPr="007C24FD">
              <w:rPr>
                <w:rStyle w:val="Hyperlink"/>
                <w:rFonts w:ascii="Arial" w:hAnsi="Arial" w:cs="Arial"/>
                <w:color w:val="0070C0"/>
                <w:sz w:val="12"/>
                <w:szCs w:val="12"/>
              </w:rPr>
              <w:t>http://www.oecd.org/termsandconditions</w:t>
            </w:r>
          </w:hyperlink>
          <w:r w:rsidRPr="007C24FD">
            <w:rPr>
              <w:rFonts w:ascii="Arial" w:hAnsi="Arial" w:cs="Arial"/>
              <w:color w:val="808080"/>
              <w:sz w:val="12"/>
              <w:szCs w:val="12"/>
            </w:rPr>
            <w:t>.</w:t>
          </w:r>
        </w:p>
      </w:tc>
    </w:tr>
  </w:tbl>
  <w:p w14:paraId="00412534" w14:textId="77777777" w:rsidR="0093714F" w:rsidRDefault="009371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E9928" w14:textId="77777777" w:rsidR="00975A3C" w:rsidRDefault="00975A3C" w:rsidP="00CC3749">
      <w:r>
        <w:separator/>
      </w:r>
    </w:p>
  </w:footnote>
  <w:footnote w:type="continuationSeparator" w:id="0">
    <w:p w14:paraId="5E43C0F0" w14:textId="77777777" w:rsidR="00975A3C" w:rsidRDefault="00975A3C" w:rsidP="00CC3749">
      <w:r>
        <w:continuationSeparator/>
      </w:r>
    </w:p>
  </w:footnote>
  <w:footnote w:id="1">
    <w:p w14:paraId="206C0CBA" w14:textId="12C6E2AE" w:rsidR="0093714F" w:rsidRPr="00FA23E9" w:rsidRDefault="0093714F" w:rsidP="00534B71">
      <w:pPr>
        <w:pStyle w:val="FootnoteText"/>
        <w:spacing w:line="240" w:lineRule="auto"/>
        <w:rPr>
          <w:rFonts w:ascii="Calibri" w:hAnsi="Calibri" w:cs="Calibri"/>
          <w:sz w:val="16"/>
          <w:szCs w:val="16"/>
          <w:lang w:val="sr-Latn-ME"/>
        </w:rPr>
      </w:pPr>
      <w:r w:rsidRPr="00FA23E9">
        <w:rPr>
          <w:rStyle w:val="FootnoteReference"/>
          <w:rFonts w:ascii="Calibri" w:hAnsi="Calibri" w:cs="Calibri"/>
          <w:sz w:val="16"/>
          <w:szCs w:val="16"/>
          <w:lang w:val="sr-Latn-ME"/>
        </w:rPr>
        <w:footnoteRef/>
      </w:r>
      <w:r w:rsidRPr="00FA23E9">
        <w:rPr>
          <w:rFonts w:ascii="Calibri" w:hAnsi="Calibri" w:cs="Calibri"/>
          <w:sz w:val="16"/>
          <w:szCs w:val="16"/>
          <w:lang w:val="sr-Latn-ME"/>
        </w:rPr>
        <w:t xml:space="preserve"> </w:t>
      </w:r>
      <w:hyperlink r:id="rId1" w:history="1">
        <w:r w:rsidRPr="00FA23E9">
          <w:rPr>
            <w:rStyle w:val="Hyperlink"/>
            <w:rFonts w:ascii="Calibri" w:hAnsi="Calibri" w:cs="Calibri"/>
            <w:sz w:val="16"/>
            <w:szCs w:val="16"/>
            <w:lang w:val="sr-Latn-ME"/>
          </w:rPr>
          <w:t>http://www.dri.co.me/law-on-the-state-audit-institution</w:t>
        </w:r>
      </w:hyperlink>
      <w:r w:rsidRPr="00FA23E9">
        <w:rPr>
          <w:rFonts w:ascii="Calibri" w:hAnsi="Calibri" w:cs="Calibri"/>
          <w:sz w:val="16"/>
          <w:szCs w:val="16"/>
          <w:lang w:val="sr-Latn-ME"/>
        </w:rPr>
        <w:t xml:space="preserve"> </w:t>
      </w:r>
    </w:p>
  </w:footnote>
  <w:footnote w:id="2">
    <w:p w14:paraId="2FB2CE76" w14:textId="7083373A" w:rsidR="00FA23E9" w:rsidRPr="00FA23E9" w:rsidRDefault="00FA23E9">
      <w:pPr>
        <w:pStyle w:val="FootnoteText"/>
        <w:rPr>
          <w:rFonts w:ascii="Calibri" w:hAnsi="Calibri" w:cs="Calibri"/>
          <w:sz w:val="16"/>
          <w:szCs w:val="16"/>
          <w:lang w:val="sr-Latn-ME"/>
        </w:rPr>
      </w:pPr>
      <w:r w:rsidRPr="00FA23E9">
        <w:rPr>
          <w:rStyle w:val="FootnoteReference"/>
          <w:rFonts w:ascii="Calibri" w:hAnsi="Calibri" w:cs="Calibri"/>
          <w:sz w:val="16"/>
          <w:szCs w:val="16"/>
          <w:lang w:val="sr-Latn-ME"/>
        </w:rPr>
        <w:footnoteRef/>
      </w:r>
      <w:r w:rsidRPr="00FA23E9">
        <w:rPr>
          <w:rFonts w:ascii="Calibri" w:hAnsi="Calibri" w:cs="Calibri"/>
          <w:sz w:val="16"/>
          <w:szCs w:val="16"/>
          <w:lang w:val="sr-Latn-ME"/>
        </w:rPr>
        <w:t xml:space="preserve"> </w:t>
      </w:r>
      <w:r w:rsidRPr="00FA23E9">
        <w:rPr>
          <w:rFonts w:ascii="Calibri" w:hAnsi="Calibri" w:cs="Calibri"/>
          <w:sz w:val="16"/>
          <w:szCs w:val="16"/>
          <w:lang w:val="sr-Latn-ME"/>
        </w:rPr>
        <w:t xml:space="preserve">Članak </w:t>
      </w:r>
      <w:r w:rsidRPr="00FA23E9">
        <w:rPr>
          <w:rFonts w:ascii="Calibri" w:hAnsi="Calibri" w:cs="Calibri"/>
          <w:sz w:val="16"/>
          <w:szCs w:val="16"/>
          <w:lang w:val="sr-Latn-ME"/>
        </w:rPr>
        <w:t>iz novena “Pobjeda”, 31.01.2023. godine</w:t>
      </w:r>
    </w:p>
  </w:footnote>
  <w:footnote w:id="3">
    <w:p w14:paraId="500AAD27" w14:textId="73144325" w:rsidR="0093714F" w:rsidRPr="00475075" w:rsidRDefault="0093714F" w:rsidP="00534B71">
      <w:pPr>
        <w:pStyle w:val="FootnoteText"/>
        <w:spacing w:line="240" w:lineRule="auto"/>
        <w:rPr>
          <w:lang w:val="sr-Latn-ME"/>
        </w:rPr>
      </w:pPr>
      <w:r w:rsidRPr="00FA23E9">
        <w:rPr>
          <w:rStyle w:val="FootnoteReference"/>
          <w:rFonts w:ascii="Calibri" w:hAnsi="Calibri" w:cs="Calibri"/>
          <w:sz w:val="16"/>
          <w:szCs w:val="16"/>
          <w:lang w:val="sr-Latn-ME"/>
        </w:rPr>
        <w:footnoteRef/>
      </w:r>
      <w:r w:rsidRPr="00FA23E9">
        <w:rPr>
          <w:rFonts w:ascii="Calibri" w:hAnsi="Calibri" w:cs="Calibri"/>
          <w:sz w:val="16"/>
          <w:szCs w:val="16"/>
          <w:lang w:val="sr-Latn-ME"/>
        </w:rPr>
        <w:t xml:space="preserve"> </w:t>
      </w:r>
      <w:hyperlink r:id="rId2" w:history="1">
        <w:r w:rsidRPr="00FA23E9">
          <w:rPr>
            <w:rStyle w:val="Hyperlink"/>
            <w:rFonts w:ascii="Calibri" w:hAnsi="Calibri" w:cs="Calibri"/>
            <w:sz w:val="16"/>
            <w:szCs w:val="16"/>
            <w:lang w:val="sr-Latn-ME"/>
          </w:rPr>
          <w:t>www.sigmaweb.org/publications/Monitoring-Report-Executive-Summary-2021-Montenegro.pdf</w:t>
        </w:r>
      </w:hyperlink>
    </w:p>
  </w:footnote>
  <w:footnote w:id="4">
    <w:p w14:paraId="316B5630" w14:textId="77777777" w:rsidR="0093714F" w:rsidRPr="00FA23E9" w:rsidRDefault="0093714F" w:rsidP="00534B71">
      <w:pPr>
        <w:pStyle w:val="FootnoteText"/>
        <w:spacing w:line="240" w:lineRule="auto"/>
        <w:rPr>
          <w:rFonts w:ascii="Calibri" w:hAnsi="Calibri" w:cs="Calibri"/>
          <w:sz w:val="16"/>
          <w:szCs w:val="16"/>
          <w:lang w:val="sr-Latn-ME"/>
        </w:rPr>
      </w:pPr>
      <w:r w:rsidRPr="00FA23E9">
        <w:rPr>
          <w:rStyle w:val="FootnoteReference"/>
          <w:rFonts w:ascii="Calibri" w:hAnsi="Calibri" w:cs="Calibri"/>
          <w:sz w:val="16"/>
          <w:szCs w:val="16"/>
          <w:lang w:val="sr-Latn-ME"/>
        </w:rPr>
        <w:footnoteRef/>
      </w:r>
      <w:hyperlink r:id="rId3" w:history="1">
        <w:r w:rsidRPr="00FA23E9">
          <w:rPr>
            <w:rStyle w:val="Hyperlink"/>
            <w:rFonts w:ascii="Calibri" w:hAnsi="Calibri" w:cs="Calibri"/>
            <w:sz w:val="16"/>
            <w:szCs w:val="16"/>
            <w:lang w:val="sr-Latn-ME"/>
          </w:rPr>
          <w:t>https://sirc.idi.no/document-database/documents/external-publications/5-un-resolution-69-228</w:t>
        </w:r>
      </w:hyperlink>
    </w:p>
  </w:footnote>
  <w:footnote w:id="5">
    <w:p w14:paraId="7DD64D9E" w14:textId="77777777" w:rsidR="0093714F" w:rsidRPr="00FA23E9" w:rsidRDefault="0093714F" w:rsidP="00534B71">
      <w:pPr>
        <w:pStyle w:val="FootnoteText"/>
        <w:spacing w:line="240" w:lineRule="auto"/>
        <w:rPr>
          <w:rFonts w:ascii="Calibri" w:hAnsi="Calibri" w:cs="Calibri"/>
          <w:sz w:val="16"/>
          <w:szCs w:val="16"/>
          <w:lang w:val="sr-Latn-ME"/>
        </w:rPr>
      </w:pPr>
      <w:r w:rsidRPr="00FA23E9">
        <w:rPr>
          <w:rStyle w:val="FootnoteReference"/>
          <w:rFonts w:ascii="Calibri" w:hAnsi="Calibri" w:cs="Calibri"/>
          <w:sz w:val="16"/>
          <w:szCs w:val="16"/>
          <w:lang w:val="sr-Latn-ME"/>
        </w:rPr>
        <w:footnoteRef/>
      </w:r>
      <w:hyperlink r:id="rId4" w:history="1">
        <w:r w:rsidRPr="00FA23E9">
          <w:rPr>
            <w:rStyle w:val="Hyperlink"/>
            <w:rFonts w:ascii="Calibri" w:hAnsi="Calibri" w:cs="Calibri"/>
            <w:sz w:val="16"/>
            <w:szCs w:val="16"/>
            <w:lang w:val="sr-Latn-ME"/>
          </w:rPr>
          <w:t>https://www.intosai.org/fileadmin/downloads/documents/open_access/INT_P_1_u_P_10/INTOSAI_P_1_en_2019.pdf</w:t>
        </w:r>
      </w:hyperlink>
    </w:p>
  </w:footnote>
  <w:footnote w:id="6">
    <w:p w14:paraId="216CB2F7" w14:textId="77777777" w:rsidR="0093714F" w:rsidRPr="00FA23E9" w:rsidRDefault="0093714F" w:rsidP="00534B71">
      <w:pPr>
        <w:pStyle w:val="FootnoteText"/>
        <w:spacing w:line="240" w:lineRule="auto"/>
        <w:rPr>
          <w:rFonts w:ascii="Calibri" w:hAnsi="Calibri" w:cs="Calibri"/>
          <w:sz w:val="16"/>
          <w:szCs w:val="16"/>
          <w:lang w:val="sr-Latn-ME"/>
        </w:rPr>
      </w:pPr>
      <w:r w:rsidRPr="00FA23E9">
        <w:rPr>
          <w:rStyle w:val="FootnoteReference"/>
          <w:rFonts w:ascii="Calibri" w:hAnsi="Calibri" w:cs="Calibri"/>
          <w:sz w:val="16"/>
          <w:szCs w:val="16"/>
          <w:lang w:val="sr-Latn-ME"/>
        </w:rPr>
        <w:footnoteRef/>
      </w:r>
      <w:r w:rsidRPr="00FA23E9">
        <w:rPr>
          <w:rFonts w:ascii="Calibri" w:hAnsi="Calibri" w:cs="Calibri"/>
          <w:sz w:val="16"/>
          <w:szCs w:val="16"/>
          <w:lang w:val="sr-Latn-ME"/>
        </w:rPr>
        <w:t xml:space="preserve"> </w:t>
      </w:r>
      <w:hyperlink r:id="rId5" w:history="1">
        <w:r w:rsidRPr="00FA23E9">
          <w:rPr>
            <w:rStyle w:val="Hyperlink"/>
            <w:rFonts w:ascii="Calibri" w:hAnsi="Calibri" w:cs="Calibri"/>
            <w:sz w:val="16"/>
            <w:szCs w:val="16"/>
            <w:lang w:val="sr-Latn-ME"/>
          </w:rPr>
          <w:t>SAI Independence Resource Center - What is SAI independence? (idi.no)</w:t>
        </w:r>
      </w:hyperlink>
    </w:p>
  </w:footnote>
  <w:footnote w:id="7">
    <w:p w14:paraId="2D6B4DC0" w14:textId="24141B25" w:rsidR="0093714F" w:rsidRPr="00475075" w:rsidRDefault="0093714F" w:rsidP="00534B71">
      <w:pPr>
        <w:pStyle w:val="FootnoteText"/>
        <w:spacing w:line="240" w:lineRule="auto"/>
        <w:rPr>
          <w:rFonts w:ascii="Calibri" w:hAnsi="Calibri" w:cs="Calibri"/>
          <w:szCs w:val="18"/>
          <w:lang w:val="sr-Latn-ME"/>
        </w:rPr>
      </w:pPr>
      <w:r w:rsidRPr="00FA23E9">
        <w:rPr>
          <w:rStyle w:val="FootnoteReference"/>
          <w:rFonts w:ascii="Calibri" w:hAnsi="Calibri" w:cs="Calibri"/>
          <w:sz w:val="16"/>
          <w:szCs w:val="16"/>
          <w:lang w:val="sr-Latn-ME"/>
        </w:rPr>
        <w:footnoteRef/>
      </w:r>
      <w:hyperlink r:id="rId6" w:history="1">
        <w:r w:rsidRPr="00FA23E9">
          <w:rPr>
            <w:rStyle w:val="Hyperlink"/>
            <w:rFonts w:ascii="Calibri" w:hAnsi="Calibri" w:cs="Calibri"/>
            <w:sz w:val="16"/>
            <w:szCs w:val="16"/>
            <w:lang w:val="sr-Latn-ME"/>
          </w:rPr>
          <w:t>https://www.intosai.org/fileadmin/downloads/documents/open_access/INT_P_1_u_P_10/INTOSAI_P_10_en_2019.pdf</w:t>
        </w:r>
      </w:hyperlink>
    </w:p>
  </w:footnote>
  <w:footnote w:id="8">
    <w:p w14:paraId="08927E11" w14:textId="77777777" w:rsidR="0093714F" w:rsidRPr="00FA23E9" w:rsidRDefault="0093714F" w:rsidP="004D47C6">
      <w:pPr>
        <w:pStyle w:val="FootnoteText"/>
        <w:spacing w:line="240" w:lineRule="auto"/>
        <w:rPr>
          <w:rFonts w:ascii="Calibri" w:hAnsi="Calibri" w:cs="Calibri"/>
          <w:sz w:val="16"/>
          <w:szCs w:val="16"/>
          <w:lang w:val="sr-Latn-ME"/>
        </w:rPr>
      </w:pPr>
      <w:r w:rsidRPr="00FA23E9">
        <w:rPr>
          <w:rStyle w:val="FootnoteReference"/>
          <w:rFonts w:ascii="Calibri" w:hAnsi="Calibri" w:cs="Calibri"/>
          <w:sz w:val="16"/>
          <w:szCs w:val="16"/>
          <w:lang w:val="sr-Latn-ME"/>
        </w:rPr>
        <w:footnoteRef/>
      </w:r>
      <w:r w:rsidRPr="00FA23E9">
        <w:rPr>
          <w:rFonts w:ascii="Calibri" w:hAnsi="Calibri" w:cs="Calibri"/>
          <w:sz w:val="16"/>
          <w:szCs w:val="16"/>
          <w:lang w:val="sr-Latn-ME"/>
        </w:rPr>
        <w:t xml:space="preserve"> </w:t>
      </w:r>
      <w:hyperlink r:id="rId7" w:history="1">
        <w:r w:rsidRPr="00FA23E9">
          <w:rPr>
            <w:rStyle w:val="Hyperlink"/>
            <w:rFonts w:ascii="Calibri" w:hAnsi="Calibri" w:cs="Calibri"/>
            <w:sz w:val="16"/>
            <w:szCs w:val="16"/>
            <w:lang w:val="sr-Latn-ME"/>
          </w:rPr>
          <w:t>SAI Independence Resource Center - Principle 2 (idi.no)</w:t>
        </w:r>
      </w:hyperlink>
    </w:p>
  </w:footnote>
  <w:footnote w:id="9">
    <w:p w14:paraId="28B7856A" w14:textId="754C5856" w:rsidR="0093714F" w:rsidRPr="0085170F" w:rsidRDefault="0093714F" w:rsidP="0085170F">
      <w:pPr>
        <w:pStyle w:val="FootnoteText"/>
        <w:spacing w:after="0"/>
        <w:rPr>
          <w:rFonts w:ascii="Calibri" w:hAnsi="Calibri" w:cs="Calibri"/>
          <w:sz w:val="16"/>
          <w:szCs w:val="16"/>
          <w:lang w:val="sr-Latn-ME"/>
        </w:rPr>
      </w:pPr>
      <w:r w:rsidRPr="0085170F">
        <w:rPr>
          <w:rStyle w:val="FootnoteReference"/>
          <w:rFonts w:ascii="Calibri" w:hAnsi="Calibri" w:cs="Calibri"/>
          <w:sz w:val="16"/>
          <w:szCs w:val="16"/>
          <w:lang w:val="sr-Latn-ME"/>
        </w:rPr>
        <w:footnoteRef/>
      </w:r>
      <w:r w:rsidRPr="0085170F">
        <w:rPr>
          <w:rFonts w:ascii="Calibri" w:hAnsi="Calibri" w:cs="Calibri"/>
          <w:sz w:val="16"/>
          <w:szCs w:val="16"/>
          <w:lang w:val="sr-Latn-ME"/>
        </w:rPr>
        <w:t xml:space="preserve"> </w:t>
      </w:r>
      <w:r w:rsidR="00475075" w:rsidRPr="0085170F">
        <w:rPr>
          <w:rFonts w:ascii="Calibri" w:hAnsi="Calibri" w:cs="Calibri"/>
          <w:sz w:val="16"/>
          <w:szCs w:val="16"/>
          <w:lang w:val="sr-Latn-ME"/>
        </w:rPr>
        <w:t>Član</w:t>
      </w:r>
      <w:r w:rsidRPr="0085170F">
        <w:rPr>
          <w:rFonts w:ascii="Calibri" w:hAnsi="Calibri" w:cs="Calibri"/>
          <w:sz w:val="16"/>
          <w:szCs w:val="16"/>
          <w:lang w:val="sr-Latn-ME"/>
        </w:rPr>
        <w:t xml:space="preserve"> 144 </w:t>
      </w:r>
      <w:r w:rsidR="00475075" w:rsidRPr="0085170F">
        <w:rPr>
          <w:rFonts w:ascii="Calibri" w:hAnsi="Calibri" w:cs="Calibri"/>
          <w:sz w:val="16"/>
          <w:szCs w:val="16"/>
          <w:lang w:val="sr-Latn-ME"/>
        </w:rPr>
        <w:t xml:space="preserve">Ustava Crne Gore </w:t>
      </w:r>
    </w:p>
  </w:footnote>
  <w:footnote w:id="10">
    <w:p w14:paraId="512E46D8" w14:textId="77777777" w:rsidR="0093714F" w:rsidRPr="0085170F" w:rsidRDefault="0093714F" w:rsidP="0085170F">
      <w:pPr>
        <w:pStyle w:val="FootnoteText"/>
        <w:spacing w:after="0" w:line="240" w:lineRule="auto"/>
        <w:rPr>
          <w:rFonts w:ascii="Calibri" w:hAnsi="Calibri" w:cs="Calibri"/>
          <w:sz w:val="16"/>
          <w:szCs w:val="16"/>
          <w:lang w:val="sr-Latn-ME"/>
        </w:rPr>
      </w:pPr>
      <w:r w:rsidRPr="0085170F">
        <w:rPr>
          <w:rStyle w:val="FootnoteReference"/>
          <w:rFonts w:ascii="Calibri" w:hAnsi="Calibri" w:cs="Calibri"/>
          <w:sz w:val="16"/>
          <w:szCs w:val="16"/>
          <w:lang w:val="sr-Latn-ME"/>
        </w:rPr>
        <w:footnoteRef/>
      </w:r>
      <w:r w:rsidRPr="0085170F">
        <w:rPr>
          <w:rFonts w:ascii="Calibri" w:hAnsi="Calibri" w:cs="Calibri"/>
          <w:sz w:val="16"/>
          <w:szCs w:val="16"/>
          <w:lang w:val="sr-Latn-ME"/>
        </w:rPr>
        <w:t xml:space="preserve"> </w:t>
      </w:r>
      <w:hyperlink r:id="rId8" w:history="1">
        <w:r w:rsidRPr="0085170F">
          <w:rPr>
            <w:rStyle w:val="Hyperlink"/>
            <w:rFonts w:ascii="Calibri" w:hAnsi="Calibri" w:cs="Calibri"/>
            <w:sz w:val="16"/>
            <w:szCs w:val="16"/>
            <w:lang w:val="sr-Latn-ME"/>
          </w:rPr>
          <w:t>http://www.dri.co.me/law-on-the-state-audit-institution</w:t>
        </w:r>
      </w:hyperlink>
    </w:p>
  </w:footnote>
  <w:footnote w:id="11">
    <w:p w14:paraId="1CE5869F" w14:textId="60BCBCD6" w:rsidR="00FA23E9" w:rsidRPr="0085170F" w:rsidRDefault="00FA23E9" w:rsidP="0085170F">
      <w:pPr>
        <w:pStyle w:val="FootnoteText"/>
        <w:spacing w:after="0"/>
        <w:rPr>
          <w:rFonts w:ascii="Calibri" w:hAnsi="Calibri" w:cs="Calibri"/>
          <w:sz w:val="16"/>
          <w:szCs w:val="16"/>
          <w:lang w:val="sr-Latn-ME"/>
        </w:rPr>
      </w:pPr>
      <w:r w:rsidRPr="0085170F">
        <w:rPr>
          <w:rStyle w:val="FootnoteReference"/>
          <w:rFonts w:ascii="Calibri" w:hAnsi="Calibri" w:cs="Calibri"/>
          <w:sz w:val="16"/>
          <w:szCs w:val="16"/>
          <w:lang w:val="sr-Latn-ME"/>
        </w:rPr>
        <w:footnoteRef/>
      </w:r>
      <w:r w:rsidRPr="0085170F">
        <w:rPr>
          <w:rFonts w:ascii="Calibri" w:hAnsi="Calibri" w:cs="Calibri"/>
          <w:sz w:val="16"/>
          <w:szCs w:val="16"/>
          <w:lang w:val="sr-Latn-ME"/>
        </w:rPr>
        <w:t xml:space="preserve"> </w:t>
      </w:r>
      <w:r w:rsidRPr="0085170F">
        <w:rPr>
          <w:rFonts w:ascii="Calibri" w:hAnsi="Calibri" w:cs="Calibri"/>
          <w:sz w:val="16"/>
          <w:szCs w:val="16"/>
          <w:lang w:val="sr-Latn-ME"/>
        </w:rPr>
        <w:t>Kroz bilateralan projekat Crne Gore i Njemačke pod nazivom “Kreiranje i uspostavljanje vrhovne revizorske institucije u Crnoj Gori”, pod vođstvom GiZ</w:t>
      </w:r>
      <w:r w:rsidR="001D18D0" w:rsidRPr="0085170F">
        <w:rPr>
          <w:rFonts w:ascii="Calibri" w:hAnsi="Calibri" w:cs="Calibri"/>
          <w:sz w:val="16"/>
          <w:szCs w:val="16"/>
          <w:lang w:val="sr-Latn-ME"/>
        </w:rPr>
        <w:t xml:space="preserve"> (Agencija za tehničku saradnju) 2002-2006</w:t>
      </w:r>
    </w:p>
  </w:footnote>
  <w:footnote w:id="12">
    <w:p w14:paraId="12708757" w14:textId="63B35DE8" w:rsidR="001D18D0" w:rsidRPr="0085170F" w:rsidRDefault="001D18D0" w:rsidP="0085170F">
      <w:pPr>
        <w:pStyle w:val="FootnoteText"/>
        <w:spacing w:after="0"/>
        <w:rPr>
          <w:rFonts w:ascii="Calibri" w:hAnsi="Calibri" w:cs="Calibri"/>
          <w:sz w:val="16"/>
          <w:szCs w:val="16"/>
          <w:lang w:val="sr-Latn-ME"/>
        </w:rPr>
      </w:pPr>
      <w:r w:rsidRPr="0085170F">
        <w:rPr>
          <w:rStyle w:val="FootnoteReference"/>
          <w:rFonts w:ascii="Calibri" w:hAnsi="Calibri" w:cs="Calibri"/>
          <w:sz w:val="16"/>
          <w:szCs w:val="16"/>
          <w:lang w:val="sr-Latn-ME"/>
        </w:rPr>
        <w:footnoteRef/>
      </w:r>
      <w:r w:rsidRPr="0085170F">
        <w:rPr>
          <w:rFonts w:ascii="Calibri" w:hAnsi="Calibri" w:cs="Calibri"/>
          <w:sz w:val="16"/>
          <w:szCs w:val="16"/>
          <w:lang w:val="sr-Latn-ME"/>
        </w:rPr>
        <w:t xml:space="preserve"> </w:t>
      </w:r>
      <w:r w:rsidRPr="0085170F">
        <w:rPr>
          <w:rFonts w:ascii="Calibri" w:hAnsi="Calibri" w:cs="Calibri"/>
          <w:sz w:val="16"/>
          <w:szCs w:val="16"/>
          <w:lang w:val="sr-Latn-ME"/>
        </w:rPr>
        <w:t xml:space="preserve">Izmjena </w:t>
      </w:r>
      <w:r w:rsidRPr="0085170F">
        <w:rPr>
          <w:rFonts w:ascii="Calibri" w:hAnsi="Calibri" w:cs="Calibri"/>
          <w:sz w:val="16"/>
          <w:szCs w:val="16"/>
          <w:lang w:val="sr-Latn-ME"/>
        </w:rPr>
        <w:t>XVI iz Izmjena Ustava Crne Gore, sa 12. Sjednice prvog redovnog (proljećnog) zasijedanja u 2013. godini, od 31. jula 2013. godine</w:t>
      </w:r>
    </w:p>
  </w:footnote>
  <w:footnote w:id="13">
    <w:p w14:paraId="262B96CE" w14:textId="7A6525CE" w:rsidR="001D18D0" w:rsidRPr="0085170F" w:rsidRDefault="001D18D0" w:rsidP="0085170F">
      <w:pPr>
        <w:pStyle w:val="FootnoteText"/>
        <w:spacing w:after="0"/>
        <w:rPr>
          <w:rFonts w:ascii="Calibri" w:hAnsi="Calibri" w:cs="Calibri"/>
          <w:sz w:val="16"/>
          <w:szCs w:val="16"/>
          <w:lang w:val="sr-Latn-ME"/>
        </w:rPr>
      </w:pPr>
      <w:r w:rsidRPr="0085170F">
        <w:rPr>
          <w:rStyle w:val="FootnoteReference"/>
          <w:rFonts w:ascii="Calibri" w:hAnsi="Calibri" w:cs="Calibri"/>
          <w:sz w:val="16"/>
          <w:szCs w:val="16"/>
          <w:lang w:val="sr-Latn-ME"/>
        </w:rPr>
        <w:footnoteRef/>
      </w:r>
      <w:r w:rsidRPr="0085170F">
        <w:rPr>
          <w:rFonts w:ascii="Calibri" w:hAnsi="Calibri" w:cs="Calibri"/>
          <w:sz w:val="16"/>
          <w:szCs w:val="16"/>
          <w:lang w:val="sr-Latn-ME"/>
        </w:rPr>
        <w:t xml:space="preserve"> </w:t>
      </w:r>
      <w:r w:rsidRPr="0085170F">
        <w:rPr>
          <w:rFonts w:ascii="Calibri" w:hAnsi="Calibri" w:cs="Calibri"/>
          <w:sz w:val="16"/>
          <w:szCs w:val="16"/>
          <w:lang w:val="sr-Latn-ME"/>
        </w:rPr>
        <w:t xml:space="preserve">U </w:t>
      </w:r>
      <w:r w:rsidRPr="0085170F">
        <w:rPr>
          <w:rFonts w:ascii="Calibri" w:hAnsi="Calibri" w:cs="Calibri"/>
          <w:sz w:val="16"/>
          <w:szCs w:val="16"/>
          <w:lang w:val="sr-Latn-ME"/>
        </w:rPr>
        <w:t xml:space="preserve">članu 48 nakon paragrafa 1, novi paragraf je dodat “O zasnivanju radnog odnosa, pravima, obavezama i odgovornosti zaposlenih u Instituciji odlučuje Senat, u skladu sa zakonom. </w:t>
      </w:r>
    </w:p>
  </w:footnote>
  <w:footnote w:id="14">
    <w:p w14:paraId="7948DAB6" w14:textId="3D429D08" w:rsidR="0085170F" w:rsidRPr="0085170F" w:rsidRDefault="0085170F" w:rsidP="0085170F">
      <w:pPr>
        <w:pStyle w:val="FootnoteText"/>
        <w:spacing w:after="0"/>
        <w:rPr>
          <w:rFonts w:ascii="Calibri" w:hAnsi="Calibri" w:cs="Calibri"/>
          <w:sz w:val="16"/>
          <w:szCs w:val="16"/>
        </w:rPr>
      </w:pPr>
      <w:r w:rsidRPr="0085170F">
        <w:rPr>
          <w:rStyle w:val="FootnoteReference"/>
          <w:rFonts w:ascii="Calibri" w:hAnsi="Calibri" w:cs="Calibri"/>
          <w:sz w:val="16"/>
          <w:szCs w:val="16"/>
          <w:lang w:val="sr-Latn-ME"/>
        </w:rPr>
        <w:footnoteRef/>
      </w:r>
      <w:r w:rsidRPr="0085170F">
        <w:rPr>
          <w:rFonts w:ascii="Calibri" w:hAnsi="Calibri" w:cs="Calibri"/>
          <w:sz w:val="16"/>
          <w:szCs w:val="16"/>
          <w:lang w:val="sr-Latn-ME"/>
        </w:rPr>
        <w:t xml:space="preserve"> </w:t>
      </w:r>
      <w:r w:rsidRPr="0085170F">
        <w:rPr>
          <w:rFonts w:ascii="Calibri" w:hAnsi="Calibri" w:cs="Calibri"/>
          <w:sz w:val="16"/>
          <w:szCs w:val="16"/>
          <w:lang w:val="sr-Latn-ME"/>
        </w:rPr>
        <w:t xml:space="preserve">Član </w:t>
      </w:r>
      <w:r w:rsidRPr="0085170F">
        <w:rPr>
          <w:rFonts w:ascii="Calibri" w:hAnsi="Calibri" w:cs="Calibri"/>
          <w:sz w:val="16"/>
          <w:szCs w:val="16"/>
          <w:lang w:val="sr-Latn-ME"/>
        </w:rPr>
        <w:t>51 je izmijenjen da glasi: “</w:t>
      </w:r>
      <w:r w:rsidRPr="0085170F">
        <w:rPr>
          <w:rFonts w:ascii="Calibri" w:hAnsi="Calibri" w:cs="Calibri"/>
          <w:sz w:val="16"/>
          <w:szCs w:val="16"/>
          <w:lang w:val="sr-Latn-ME"/>
        </w:rPr>
        <w:t>Sredstva za rad Institucije obez</w:t>
      </w:r>
      <w:r w:rsidRPr="0085170F">
        <w:rPr>
          <w:rFonts w:ascii="Calibri" w:hAnsi="Calibri" w:cs="Calibri"/>
          <w:sz w:val="16"/>
          <w:szCs w:val="16"/>
          <w:lang w:val="sr-Latn-ME"/>
        </w:rPr>
        <w:t xml:space="preserve">bjeđuju se u budžetu Crne Gore. </w:t>
      </w:r>
      <w:r w:rsidRPr="0085170F">
        <w:rPr>
          <w:rFonts w:ascii="Calibri" w:hAnsi="Calibri" w:cs="Calibri"/>
          <w:sz w:val="16"/>
          <w:szCs w:val="16"/>
          <w:lang w:val="sr-Latn-ME"/>
        </w:rPr>
        <w:t xml:space="preserve">Nacrt budžeta Institucije predlaže Senat i dostavlja ga nadležnom radnom tijelu </w:t>
      </w:r>
      <w:r w:rsidRPr="0085170F">
        <w:rPr>
          <w:rFonts w:ascii="Calibri" w:hAnsi="Calibri" w:cs="Calibri"/>
          <w:sz w:val="16"/>
          <w:szCs w:val="16"/>
          <w:lang w:val="sr-Latn-ME"/>
        </w:rPr>
        <w:t xml:space="preserve">Skupštine za poslove finansija. </w:t>
      </w:r>
      <w:r w:rsidRPr="0085170F">
        <w:rPr>
          <w:rFonts w:ascii="Calibri" w:hAnsi="Calibri" w:cs="Calibri"/>
          <w:sz w:val="16"/>
          <w:szCs w:val="16"/>
          <w:lang w:val="sr-Latn-ME"/>
        </w:rPr>
        <w:t xml:space="preserve">Nacrt budžeta Institucije, utvrđuje nadležno radno tijelo Skupštine za poslove </w:t>
      </w:r>
      <w:r w:rsidRPr="0085170F">
        <w:rPr>
          <w:rFonts w:ascii="Calibri" w:hAnsi="Calibri" w:cs="Calibri"/>
          <w:sz w:val="16"/>
          <w:szCs w:val="16"/>
          <w:lang w:val="sr-Latn-ME"/>
        </w:rPr>
        <w:t xml:space="preserve">finansija i dostavlja ga Vladi. </w:t>
      </w:r>
      <w:r w:rsidRPr="0085170F">
        <w:rPr>
          <w:rFonts w:ascii="Calibri" w:hAnsi="Calibri" w:cs="Calibri"/>
          <w:sz w:val="16"/>
          <w:szCs w:val="16"/>
          <w:lang w:val="sr-Latn-ME"/>
        </w:rPr>
        <w:t>Vlada, ukoliko u predlogu godišnjeg zakona o budžetu izvrši izmjene iz nacrta budžeta Institucije iz stava 3 ovog člana, dostavlja Skupštini pisano obrazloženje.</w:t>
      </w:r>
    </w:p>
  </w:footnote>
  <w:footnote w:id="15">
    <w:p w14:paraId="53A201CF" w14:textId="7800E751" w:rsidR="0093714F" w:rsidRPr="0085170F" w:rsidRDefault="0093714F" w:rsidP="004D47C6">
      <w:pPr>
        <w:pStyle w:val="FootnoteText"/>
        <w:spacing w:line="240" w:lineRule="auto"/>
        <w:rPr>
          <w:rFonts w:ascii="Calibri" w:hAnsi="Calibri" w:cs="Calibri"/>
          <w:sz w:val="16"/>
          <w:szCs w:val="16"/>
          <w:lang w:val="sr-Latn-ME"/>
        </w:rPr>
      </w:pPr>
      <w:r w:rsidRPr="0085170F">
        <w:rPr>
          <w:rStyle w:val="FootnoteReference"/>
          <w:rFonts w:ascii="Calibri" w:hAnsi="Calibri" w:cs="Calibri"/>
          <w:sz w:val="16"/>
          <w:szCs w:val="16"/>
          <w:lang w:val="sr-Latn-ME"/>
        </w:rPr>
        <w:footnoteRef/>
      </w:r>
      <w:r w:rsidRPr="0085170F">
        <w:rPr>
          <w:rFonts w:ascii="Calibri" w:hAnsi="Calibri" w:cs="Calibri"/>
          <w:sz w:val="16"/>
          <w:szCs w:val="16"/>
          <w:lang w:val="sr-Latn-ME"/>
        </w:rPr>
        <w:t xml:space="preserve"> </w:t>
      </w:r>
      <w:r w:rsidR="00475075" w:rsidRPr="0085170F">
        <w:rPr>
          <w:rFonts w:ascii="Calibri" w:hAnsi="Calibri" w:cs="Calibri"/>
          <w:sz w:val="16"/>
          <w:szCs w:val="16"/>
          <w:lang w:val="sr-Latn-ME"/>
        </w:rPr>
        <w:t>Član</w:t>
      </w:r>
      <w:r w:rsidRPr="0085170F">
        <w:rPr>
          <w:rFonts w:ascii="Calibri" w:hAnsi="Calibri" w:cs="Calibri"/>
          <w:sz w:val="16"/>
          <w:szCs w:val="16"/>
          <w:lang w:val="sr-Latn-ME"/>
        </w:rPr>
        <w:t xml:space="preserve"> 33</w:t>
      </w:r>
    </w:p>
  </w:footnote>
  <w:footnote w:id="16">
    <w:p w14:paraId="092C3898" w14:textId="61264805" w:rsidR="0093714F" w:rsidRPr="001D18D0" w:rsidRDefault="0093714F" w:rsidP="004D47C6">
      <w:pPr>
        <w:pStyle w:val="FootnoteText"/>
        <w:spacing w:line="240" w:lineRule="auto"/>
        <w:rPr>
          <w:rFonts w:ascii="Calibri" w:hAnsi="Calibri" w:cs="Calibri"/>
          <w:sz w:val="16"/>
          <w:szCs w:val="16"/>
          <w:lang w:val="sr-Latn-ME"/>
        </w:rPr>
      </w:pPr>
      <w:r w:rsidRPr="0085170F">
        <w:rPr>
          <w:rStyle w:val="FootnoteReference"/>
          <w:rFonts w:ascii="Calibri" w:hAnsi="Calibri" w:cs="Calibri"/>
          <w:sz w:val="16"/>
          <w:szCs w:val="16"/>
          <w:lang w:val="sr-Latn-ME"/>
        </w:rPr>
        <w:footnoteRef/>
      </w:r>
      <w:r w:rsidRPr="0085170F">
        <w:rPr>
          <w:rFonts w:ascii="Calibri" w:hAnsi="Calibri" w:cs="Calibri"/>
          <w:sz w:val="16"/>
          <w:szCs w:val="16"/>
          <w:lang w:val="sr-Latn-ME"/>
        </w:rPr>
        <w:t xml:space="preserve"> </w:t>
      </w:r>
      <w:r w:rsidR="00475075" w:rsidRPr="0085170F">
        <w:rPr>
          <w:rFonts w:ascii="Calibri" w:hAnsi="Calibri" w:cs="Calibri"/>
          <w:sz w:val="16"/>
          <w:szCs w:val="16"/>
          <w:lang w:val="sr-Latn-ME"/>
        </w:rPr>
        <w:t>Član</w:t>
      </w:r>
      <w:r w:rsidRPr="0085170F">
        <w:rPr>
          <w:rFonts w:ascii="Calibri" w:hAnsi="Calibri" w:cs="Calibri"/>
          <w:sz w:val="16"/>
          <w:szCs w:val="16"/>
          <w:lang w:val="sr-Latn-ME"/>
        </w:rPr>
        <w:t xml:space="preserve"> 34</w:t>
      </w:r>
    </w:p>
  </w:footnote>
  <w:footnote w:id="17">
    <w:p w14:paraId="0083E342" w14:textId="05F1E680" w:rsidR="0093714F" w:rsidRPr="0085170F" w:rsidRDefault="0093714F" w:rsidP="004D47C6">
      <w:pPr>
        <w:pStyle w:val="FootnoteText"/>
        <w:spacing w:line="240" w:lineRule="auto"/>
        <w:rPr>
          <w:rFonts w:ascii="Calibri" w:hAnsi="Calibri" w:cs="Calibri"/>
          <w:sz w:val="16"/>
          <w:szCs w:val="16"/>
          <w:lang w:val="sr-Latn-ME"/>
        </w:rPr>
      </w:pPr>
      <w:r w:rsidRPr="0085170F">
        <w:rPr>
          <w:rStyle w:val="FootnoteReference"/>
          <w:rFonts w:ascii="Calibri" w:hAnsi="Calibri" w:cs="Calibri"/>
          <w:sz w:val="16"/>
          <w:szCs w:val="16"/>
          <w:lang w:val="sr-Latn-ME"/>
        </w:rPr>
        <w:footnoteRef/>
      </w:r>
      <w:r w:rsidRPr="0085170F">
        <w:rPr>
          <w:rFonts w:ascii="Calibri" w:hAnsi="Calibri" w:cs="Calibri"/>
          <w:sz w:val="16"/>
          <w:szCs w:val="16"/>
          <w:lang w:val="sr-Latn-ME"/>
        </w:rPr>
        <w:t xml:space="preserve"> </w:t>
      </w:r>
      <w:r w:rsidR="00475075" w:rsidRPr="0085170F">
        <w:rPr>
          <w:rFonts w:ascii="Calibri" w:hAnsi="Calibri" w:cs="Calibri"/>
          <w:sz w:val="16"/>
          <w:szCs w:val="16"/>
          <w:lang w:val="sr-Latn-ME"/>
        </w:rPr>
        <w:t>Član</w:t>
      </w:r>
      <w:r w:rsidRPr="0085170F">
        <w:rPr>
          <w:rFonts w:ascii="Calibri" w:hAnsi="Calibri" w:cs="Calibri"/>
          <w:sz w:val="16"/>
          <w:szCs w:val="16"/>
          <w:lang w:val="sr-Latn-ME"/>
        </w:rPr>
        <w:t xml:space="preserve"> 34, paragra</w:t>
      </w:r>
      <w:r w:rsidR="00475075" w:rsidRPr="0085170F">
        <w:rPr>
          <w:rFonts w:ascii="Calibri" w:hAnsi="Calibri" w:cs="Calibri"/>
          <w:sz w:val="16"/>
          <w:szCs w:val="16"/>
          <w:lang w:val="sr-Latn-ME"/>
        </w:rPr>
        <w:t>f</w:t>
      </w:r>
      <w:r w:rsidRPr="0085170F">
        <w:rPr>
          <w:rFonts w:ascii="Calibri" w:hAnsi="Calibri" w:cs="Calibri"/>
          <w:sz w:val="16"/>
          <w:szCs w:val="16"/>
          <w:lang w:val="sr-Latn-ME"/>
        </w:rPr>
        <w:t xml:space="preserve"> 1</w:t>
      </w:r>
    </w:p>
  </w:footnote>
  <w:footnote w:id="18">
    <w:p w14:paraId="5EB20BC1" w14:textId="77777777" w:rsidR="0093714F" w:rsidRPr="0085170F" w:rsidRDefault="0093714F" w:rsidP="00F20F73">
      <w:pPr>
        <w:pStyle w:val="FootnoteText"/>
        <w:rPr>
          <w:rFonts w:ascii="Calibri" w:hAnsi="Calibri" w:cs="Calibri"/>
          <w:sz w:val="16"/>
          <w:szCs w:val="16"/>
          <w:lang w:val="sr-Latn-ME"/>
        </w:rPr>
      </w:pPr>
      <w:r w:rsidRPr="0085170F">
        <w:rPr>
          <w:rStyle w:val="FootnoteReference"/>
          <w:rFonts w:ascii="Calibri" w:hAnsi="Calibri" w:cs="Calibri"/>
          <w:sz w:val="16"/>
          <w:szCs w:val="16"/>
          <w:lang w:val="sr-Latn-ME"/>
        </w:rPr>
        <w:footnoteRef/>
      </w:r>
      <w:r w:rsidRPr="0085170F">
        <w:rPr>
          <w:rFonts w:ascii="Calibri" w:hAnsi="Calibri" w:cs="Calibri"/>
          <w:sz w:val="16"/>
          <w:szCs w:val="16"/>
          <w:lang w:val="sr-Latn-ME"/>
        </w:rPr>
        <w:t xml:space="preserve"> </w:t>
      </w:r>
      <w:hyperlink r:id="rId9" w:history="1">
        <w:r w:rsidRPr="0085170F">
          <w:rPr>
            <w:rStyle w:val="Hyperlink"/>
            <w:rFonts w:ascii="Calibri" w:hAnsi="Calibri" w:cs="Calibri"/>
            <w:sz w:val="16"/>
            <w:szCs w:val="16"/>
            <w:lang w:val="sr-Latn-ME"/>
          </w:rPr>
          <w:t>Public Audit in the European Union 2022 Edition (europa.eu)</w:t>
        </w:r>
      </w:hyperlink>
    </w:p>
  </w:footnote>
  <w:footnote w:id="19">
    <w:p w14:paraId="6F79CE77" w14:textId="7122A4C1" w:rsidR="0093714F" w:rsidRPr="00475075" w:rsidRDefault="0093714F" w:rsidP="00F20F73">
      <w:pPr>
        <w:pStyle w:val="FootnoteText"/>
        <w:rPr>
          <w:rFonts w:ascii="Calibri" w:hAnsi="Calibri" w:cs="Calibri"/>
          <w:szCs w:val="18"/>
          <w:lang w:val="sr-Latn-ME"/>
        </w:rPr>
      </w:pPr>
      <w:r w:rsidRPr="0085170F">
        <w:rPr>
          <w:rStyle w:val="FootnoteReference"/>
          <w:rFonts w:ascii="Calibri" w:hAnsi="Calibri" w:cs="Calibri"/>
          <w:sz w:val="16"/>
          <w:szCs w:val="16"/>
          <w:lang w:val="sr-Latn-ME"/>
        </w:rPr>
        <w:footnoteRef/>
      </w:r>
      <w:r w:rsidRPr="0085170F">
        <w:rPr>
          <w:rFonts w:ascii="Calibri" w:hAnsi="Calibri" w:cs="Calibri"/>
          <w:sz w:val="16"/>
          <w:szCs w:val="16"/>
          <w:lang w:val="sr-Latn-ME"/>
        </w:rPr>
        <w:t xml:space="preserve"> </w:t>
      </w:r>
      <w:hyperlink r:id="rId10" w:history="1">
        <w:r w:rsidRPr="0085170F">
          <w:rPr>
            <w:rStyle w:val="Hyperlink"/>
            <w:rFonts w:ascii="Calibri" w:hAnsi="Calibri" w:cs="Calibri"/>
            <w:sz w:val="16"/>
            <w:szCs w:val="16"/>
            <w:lang w:val="sr-Latn-ME"/>
          </w:rPr>
          <w:t>https://op.europa.eu/webpub/eca/book-state-audit/en/</w:t>
        </w:r>
      </w:hyperlink>
      <w:r w:rsidRPr="00475075">
        <w:rPr>
          <w:rFonts w:ascii="Calibri" w:hAnsi="Calibri" w:cs="Calibri"/>
          <w:szCs w:val="18"/>
          <w:lang w:val="sr-Latn-ME"/>
        </w:rPr>
        <w:t xml:space="preserve"> </w:t>
      </w:r>
    </w:p>
  </w:footnote>
  <w:footnote w:id="20">
    <w:p w14:paraId="2EF2B15A" w14:textId="5E1D6796" w:rsidR="0093714F" w:rsidRPr="0085170F" w:rsidRDefault="0093714F" w:rsidP="00F20F73">
      <w:pPr>
        <w:pStyle w:val="FootnoteText"/>
        <w:rPr>
          <w:rFonts w:ascii="Calibri" w:hAnsi="Calibri" w:cs="Calibri"/>
          <w:sz w:val="16"/>
          <w:szCs w:val="16"/>
          <w:lang w:val="sr-Latn-ME"/>
        </w:rPr>
      </w:pPr>
      <w:r w:rsidRPr="0085170F">
        <w:rPr>
          <w:rStyle w:val="FootnoteReference"/>
          <w:rFonts w:ascii="Calibri" w:hAnsi="Calibri" w:cs="Calibri"/>
          <w:sz w:val="16"/>
          <w:szCs w:val="16"/>
          <w:lang w:val="sr-Latn-ME"/>
        </w:rPr>
        <w:footnoteRef/>
      </w:r>
      <w:r w:rsidRPr="0085170F">
        <w:rPr>
          <w:rFonts w:ascii="Calibri" w:hAnsi="Calibri" w:cs="Calibri"/>
          <w:sz w:val="16"/>
          <w:szCs w:val="16"/>
          <w:lang w:val="sr-Latn-ME"/>
        </w:rPr>
        <w:t xml:space="preserve"> </w:t>
      </w:r>
      <w:r w:rsidR="0085170F" w:rsidRPr="0085170F">
        <w:rPr>
          <w:rFonts w:ascii="Calibri" w:hAnsi="Calibri" w:cs="Calibri"/>
          <w:sz w:val="16"/>
          <w:szCs w:val="16"/>
          <w:lang w:val="sr-Latn-ME"/>
        </w:rPr>
        <w:t>Član</w:t>
      </w:r>
      <w:r w:rsidRPr="0085170F">
        <w:rPr>
          <w:rFonts w:ascii="Calibri" w:hAnsi="Calibri" w:cs="Calibri"/>
          <w:sz w:val="16"/>
          <w:szCs w:val="16"/>
          <w:lang w:val="sr-Latn-ME"/>
        </w:rPr>
        <w:t xml:space="preserve"> 121, </w:t>
      </w:r>
      <w:r w:rsidR="0085170F" w:rsidRPr="0085170F">
        <w:rPr>
          <w:rFonts w:ascii="Calibri" w:hAnsi="Calibri" w:cs="Calibri"/>
          <w:sz w:val="16"/>
          <w:szCs w:val="16"/>
          <w:lang w:val="sr-Latn-ME"/>
        </w:rPr>
        <w:t xml:space="preserve">paragraf </w:t>
      </w:r>
      <w:r w:rsidRPr="0085170F">
        <w:rPr>
          <w:rFonts w:ascii="Calibri" w:hAnsi="Calibri" w:cs="Calibri"/>
          <w:sz w:val="16"/>
          <w:szCs w:val="16"/>
          <w:lang w:val="sr-Latn-ME"/>
        </w:rPr>
        <w:t xml:space="preserve">1 </w:t>
      </w:r>
      <w:r w:rsidR="0085170F" w:rsidRPr="0085170F">
        <w:rPr>
          <w:rFonts w:ascii="Calibri" w:hAnsi="Calibri" w:cs="Calibri"/>
          <w:sz w:val="16"/>
          <w:szCs w:val="16"/>
          <w:lang w:val="sr-Latn-ME"/>
        </w:rPr>
        <w:t xml:space="preserve">Ustav Crne Gore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524B" w14:textId="6861442F" w:rsidR="0093714F" w:rsidRDefault="00975A3C" w:rsidP="004E100F">
    <w:pPr>
      <w:pStyle w:val="Header"/>
    </w:pPr>
    <w:sdt>
      <w:sdtPr>
        <w:rPr>
          <w:rStyle w:val="PageNumber"/>
        </w:rPr>
        <w:alias w:val="Page Number"/>
        <w:tag w:val="TxtPageNumber"/>
        <w:id w:val="-1835755985"/>
        <w:lock w:val="sdtLocked"/>
      </w:sdtPr>
      <w:sdtEndPr>
        <w:rPr>
          <w:rStyle w:val="DefaultParagraphFont"/>
          <w:rFonts w:ascii="Times New Roman" w:hAnsi="Times New Roman"/>
          <w:b w:val="0"/>
        </w:rPr>
      </w:sdtEndPr>
      <w:sdtContent>
        <w:r w:rsidR="0093714F" w:rsidRPr="00CC3749">
          <w:rPr>
            <w:rStyle w:val="PageNumber"/>
          </w:rPr>
          <w:fldChar w:fldCharType="begin"/>
        </w:r>
        <w:r w:rsidR="0093714F" w:rsidRPr="00CC3749">
          <w:rPr>
            <w:rStyle w:val="PageNumber"/>
          </w:rPr>
          <w:instrText xml:space="preserve"> PAGE   \* MERGEFORMAT </w:instrText>
        </w:r>
        <w:r w:rsidR="0093714F" w:rsidRPr="00CC3749">
          <w:rPr>
            <w:rStyle w:val="PageNumber"/>
          </w:rPr>
          <w:fldChar w:fldCharType="separate"/>
        </w:r>
        <w:r w:rsidR="00552FF1">
          <w:rPr>
            <w:rStyle w:val="PageNumber"/>
            <w:noProof/>
          </w:rPr>
          <w:t>8</w:t>
        </w:r>
        <w:r w:rsidR="0093714F" w:rsidRPr="00CC3749">
          <w:rPr>
            <w:rStyle w:val="PageNumber"/>
            <w:noProof/>
          </w:rPr>
          <w:fldChar w:fldCharType="end"/>
        </w:r>
      </w:sdtContent>
    </w:sdt>
    <w:r w:rsidR="0093714F">
      <w:t xml:space="preserve"> </w:t>
    </w:r>
    <w:r w:rsidR="0093714F">
      <w:sym w:font="Symbol" w:char="F07C"/>
    </w:r>
    <w:r w:rsidR="0093714F">
      <w:t xml:space="preserve"> </w:t>
    </w:r>
    <w:sdt>
      <w:sdtPr>
        <w:rPr>
          <w:rStyle w:val="HeaderTitle"/>
        </w:rPr>
        <w:alias w:val="Cote/Chapter"/>
        <w:tag w:val="txtHeaderValue"/>
        <w:id w:val="-308635562"/>
        <w:lock w:val="sdtLocked"/>
      </w:sdtPr>
      <w:sdtEndPr>
        <w:rPr>
          <w:rStyle w:val="DefaultParagraphFont"/>
          <w:rFonts w:ascii="Times New Roman" w:hAnsi="Times New Roman"/>
          <w:caps w:val="0"/>
          <w:sz w:val="22"/>
        </w:rPr>
      </w:sdtEndPr>
      <w:sdtContent>
        <w:r w:rsidR="0093714F">
          <w:rPr>
            <w:rStyle w:val="HeaderTitle"/>
          </w:rPr>
          <w:t xml:space="preserve"> </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4143" w14:textId="66DC6345" w:rsidR="0093714F" w:rsidRDefault="00975A3C" w:rsidP="004E100F">
    <w:pPr>
      <w:pStyle w:val="Header"/>
      <w:jc w:val="right"/>
    </w:pPr>
    <w:sdt>
      <w:sdtPr>
        <w:rPr>
          <w:rStyle w:val="HeaderTitle"/>
        </w:rPr>
        <w:alias w:val="Cote/Chapter"/>
        <w:tag w:val="txtHeaderValue"/>
        <w:id w:val="-244348000"/>
        <w:lock w:val="sdtLocked"/>
      </w:sdtPr>
      <w:sdtEndPr>
        <w:rPr>
          <w:rStyle w:val="DefaultParagraphFont"/>
          <w:rFonts w:ascii="Times New Roman" w:hAnsi="Times New Roman"/>
          <w:caps w:val="0"/>
          <w:sz w:val="22"/>
        </w:rPr>
      </w:sdtEndPr>
      <w:sdtContent>
        <w:r w:rsidR="0093714F">
          <w:rPr>
            <w:rStyle w:val="HeaderTitle"/>
          </w:rPr>
          <w:t xml:space="preserve"> </w:t>
        </w:r>
      </w:sdtContent>
    </w:sdt>
    <w:r w:rsidR="0093714F">
      <w:rPr>
        <w:rStyle w:val="PageNumber"/>
      </w:rPr>
      <w:t xml:space="preserve"> </w:t>
    </w:r>
    <w:r w:rsidR="0093714F">
      <w:rPr>
        <w:rStyle w:val="PageNumber"/>
      </w:rPr>
      <w:sym w:font="Symbol" w:char="F07C"/>
    </w:r>
    <w:r w:rsidR="0093714F">
      <w:rPr>
        <w:rStyle w:val="PageNumber"/>
      </w:rPr>
      <w:t xml:space="preserve"> </w:t>
    </w:r>
    <w:sdt>
      <w:sdtPr>
        <w:rPr>
          <w:rStyle w:val="PageNumber"/>
        </w:rPr>
        <w:alias w:val="Page Number"/>
        <w:tag w:val="TxtPageNumber"/>
        <w:id w:val="1076251128"/>
        <w:lock w:val="sdtLocked"/>
      </w:sdtPr>
      <w:sdtEndPr>
        <w:rPr>
          <w:rStyle w:val="DefaultParagraphFont"/>
          <w:rFonts w:ascii="Times New Roman" w:hAnsi="Times New Roman"/>
          <w:b w:val="0"/>
        </w:rPr>
      </w:sdtEndPr>
      <w:sdtContent>
        <w:r w:rsidR="0093714F" w:rsidRPr="00CC3749">
          <w:rPr>
            <w:rStyle w:val="PageNumber"/>
          </w:rPr>
          <w:fldChar w:fldCharType="begin"/>
        </w:r>
        <w:r w:rsidR="0093714F" w:rsidRPr="00CC3749">
          <w:rPr>
            <w:rStyle w:val="PageNumber"/>
          </w:rPr>
          <w:instrText xml:space="preserve"> PAGE   \* MERGEFORMAT </w:instrText>
        </w:r>
        <w:r w:rsidR="0093714F" w:rsidRPr="00CC3749">
          <w:rPr>
            <w:rStyle w:val="PageNumber"/>
          </w:rPr>
          <w:fldChar w:fldCharType="separate"/>
        </w:r>
        <w:r w:rsidR="00552FF1">
          <w:rPr>
            <w:rStyle w:val="PageNumber"/>
            <w:noProof/>
          </w:rPr>
          <w:t>9</w:t>
        </w:r>
        <w:r w:rsidR="0093714F" w:rsidRPr="00CC3749">
          <w:rPr>
            <w:rStyle w:val="PageNumber"/>
            <w:noProof/>
          </w:rPr>
          <w:fldChar w:fldCharType="end"/>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902D" w14:textId="77777777" w:rsidR="0093714F" w:rsidRDefault="0093714F">
    <w:pPr>
      <w:pStyle w:val="Header"/>
    </w:pPr>
    <w:r>
      <w:rPr>
        <w:noProof/>
        <w:lang w:val="en-US"/>
      </w:rPr>
      <w:drawing>
        <wp:anchor distT="0" distB="0" distL="114300" distR="114300" simplePos="0" relativeHeight="251658240" behindDoc="0" locked="0" layoutInCell="1" allowOverlap="1" wp14:anchorId="10B06EA3" wp14:editId="5B911E55">
          <wp:simplePos x="0" y="0"/>
          <wp:positionH relativeFrom="page">
            <wp:align>left</wp:align>
          </wp:positionH>
          <wp:positionV relativeFrom="page">
            <wp:align>top</wp:align>
          </wp:positionV>
          <wp:extent cx="7560000" cy="1263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263600"/>
                  </a:xfrm>
                  <a:prstGeom prst="rect">
                    <a:avLst/>
                  </a:prstGeom>
                </pic:spPr>
              </pic:pic>
            </a:graphicData>
          </a:graphic>
          <wp14:sizeRelH relativeFrom="page">
            <wp14:pctWidth>0</wp14:pctWidth>
          </wp14:sizeRelH>
          <wp14:sizeRelV relativeFrom="page">
            <wp14:pctHeight>0</wp14:pctHeight>
          </wp14:sizeRelV>
        </wp:anchor>
      </w:drawing>
    </w:r>
  </w:p>
  <w:p w14:paraId="432FC38C" w14:textId="77777777" w:rsidR="0093714F" w:rsidRDefault="0093714F">
    <w:pPr>
      <w:pStyle w:val="Header"/>
    </w:pPr>
  </w:p>
  <w:p w14:paraId="1A6DAA5A" w14:textId="77777777" w:rsidR="0093714F" w:rsidRDefault="0093714F">
    <w:pPr>
      <w:pStyle w:val="Header"/>
    </w:pPr>
  </w:p>
  <w:p w14:paraId="7C2D0606" w14:textId="77777777" w:rsidR="0093714F" w:rsidRDefault="0093714F">
    <w:pPr>
      <w:pStyle w:val="Header"/>
    </w:pPr>
  </w:p>
  <w:p w14:paraId="664D1162" w14:textId="77777777" w:rsidR="0093714F" w:rsidRDefault="0093714F">
    <w:pPr>
      <w:pStyle w:val="Header"/>
    </w:pPr>
  </w:p>
  <w:p w14:paraId="35A0CA86" w14:textId="77777777" w:rsidR="0093714F" w:rsidRDefault="009371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57D0"/>
    <w:multiLevelType w:val="multilevel"/>
    <w:tmpl w:val="BD980230"/>
    <w:lvl w:ilvl="0">
      <w:start w:val="1"/>
      <w:numFmt w:val="decimal"/>
      <w:lvlText w:val="%1."/>
      <w:lvlJc w:val="left"/>
      <w:pPr>
        <w:ind w:left="720"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 w15:restartNumberingAfterBreak="0">
    <w:nsid w:val="13D75F06"/>
    <w:multiLevelType w:val="multilevel"/>
    <w:tmpl w:val="4AF0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845C2"/>
    <w:multiLevelType w:val="hybridMultilevel"/>
    <w:tmpl w:val="E37E07D4"/>
    <w:lvl w:ilvl="0" w:tplc="A79CBF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1521B"/>
    <w:multiLevelType w:val="hybridMultilevel"/>
    <w:tmpl w:val="AD38D02A"/>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15:restartNumberingAfterBreak="0">
    <w:nsid w:val="2E7E516C"/>
    <w:multiLevelType w:val="hybridMultilevel"/>
    <w:tmpl w:val="974813DC"/>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534BC"/>
    <w:multiLevelType w:val="hybridMultilevel"/>
    <w:tmpl w:val="28C09E7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F566E"/>
    <w:multiLevelType w:val="multilevel"/>
    <w:tmpl w:val="E20C8734"/>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10" w15:restartNumberingAfterBreak="0">
    <w:nsid w:val="48CC7BBC"/>
    <w:multiLevelType w:val="multilevel"/>
    <w:tmpl w:val="6184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76726A"/>
    <w:multiLevelType w:val="hybridMultilevel"/>
    <w:tmpl w:val="2496E552"/>
    <w:lvl w:ilvl="0" w:tplc="D9AAEAE0">
      <w:start w:val="1"/>
      <w:numFmt w:val="bullet"/>
      <w:pStyle w:val="BulletedList"/>
      <w:lvlText w:val=""/>
      <w:lvlJc w:val="left"/>
      <w:pPr>
        <w:ind w:left="680" w:hanging="340"/>
      </w:pPr>
      <w:rPr>
        <w:rFonts w:ascii="Symbol" w:hAnsi="Symbol" w:hint="default"/>
        <w:color w:val="348E8C"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548F2ADC"/>
    <w:multiLevelType w:val="hybridMultilevel"/>
    <w:tmpl w:val="CEF0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15F2D"/>
    <w:multiLevelType w:val="hybridMultilevel"/>
    <w:tmpl w:val="2CAC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50E1C"/>
    <w:multiLevelType w:val="hybridMultilevel"/>
    <w:tmpl w:val="8C761738"/>
    <w:lvl w:ilvl="0" w:tplc="E7703D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414BC"/>
    <w:multiLevelType w:val="multilevel"/>
    <w:tmpl w:val="3CC4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9F2A06"/>
    <w:multiLevelType w:val="multilevel"/>
    <w:tmpl w:val="A3D4A2F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3B0940"/>
    <w:multiLevelType w:val="multilevel"/>
    <w:tmpl w:val="3C4EF0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770B9E"/>
    <w:multiLevelType w:val="hybridMultilevel"/>
    <w:tmpl w:val="E9D0875A"/>
    <w:lvl w:ilvl="0" w:tplc="57CA4F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5"/>
  </w:num>
  <w:num w:numId="6">
    <w:abstractNumId w:val="6"/>
  </w:num>
  <w:num w:numId="7">
    <w:abstractNumId w:val="11"/>
  </w:num>
  <w:num w:numId="8">
    <w:abstractNumId w:val="1"/>
  </w:num>
  <w:num w:numId="9">
    <w:abstractNumId w:val="17"/>
  </w:num>
  <w:num w:numId="10">
    <w:abstractNumId w:val="15"/>
  </w:num>
  <w:num w:numId="11">
    <w:abstractNumId w:val="16"/>
  </w:num>
  <w:num w:numId="12">
    <w:abstractNumId w:val="10"/>
  </w:num>
  <w:num w:numId="13">
    <w:abstractNumId w:val="0"/>
  </w:num>
  <w:num w:numId="14">
    <w:abstractNumId w:val="14"/>
  </w:num>
  <w:num w:numId="15">
    <w:abstractNumId w:val="18"/>
  </w:num>
  <w:num w:numId="16">
    <w:abstractNumId w:val="13"/>
  </w:num>
  <w:num w:numId="17">
    <w:abstractNumId w:val="8"/>
  </w:num>
  <w:num w:numId="18">
    <w:abstractNumId w:val="12"/>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evenAndOddHeaders/>
  <w:characterSpacingControl w:val="doNotCompress"/>
  <w:hdrShapeDefaults>
    <o:shapedefaults v:ext="edit" spidmax="2049"/>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97DD3F53B147727CC2D31305670F03D9E3AABA27A3B7273E4B114B62EA86EDB8"/>
    <w:docVar w:name="OECDTemplateLocation" w:val="W:\Office2016\Workgroup Templates"/>
    <w:docVar w:name="OECDTemplateName" w:val="ONE Author ODPub.dotx"/>
    <w:docVar w:name="OECDTemplateVersion" w:val="3.22"/>
    <w:docVar w:name="OECDTemplateVersionOriginal" w:val="3.22"/>
  </w:docVars>
  <w:rsids>
    <w:rsidRoot w:val="00F20F73"/>
    <w:rsid w:val="000037D9"/>
    <w:rsid w:val="00004DAB"/>
    <w:rsid w:val="000064D6"/>
    <w:rsid w:val="00017230"/>
    <w:rsid w:val="00021966"/>
    <w:rsid w:val="00023AD9"/>
    <w:rsid w:val="00024178"/>
    <w:rsid w:val="00027D14"/>
    <w:rsid w:val="00030E8C"/>
    <w:rsid w:val="000338B2"/>
    <w:rsid w:val="00033E50"/>
    <w:rsid w:val="0004402D"/>
    <w:rsid w:val="00044517"/>
    <w:rsid w:val="000454E8"/>
    <w:rsid w:val="0005102C"/>
    <w:rsid w:val="00052575"/>
    <w:rsid w:val="00052588"/>
    <w:rsid w:val="000542B8"/>
    <w:rsid w:val="00055124"/>
    <w:rsid w:val="00055536"/>
    <w:rsid w:val="00057256"/>
    <w:rsid w:val="00064C7A"/>
    <w:rsid w:val="0007759B"/>
    <w:rsid w:val="00085197"/>
    <w:rsid w:val="00091266"/>
    <w:rsid w:val="000A5133"/>
    <w:rsid w:val="000A655C"/>
    <w:rsid w:val="000A69AD"/>
    <w:rsid w:val="000B03E2"/>
    <w:rsid w:val="000B74AE"/>
    <w:rsid w:val="000B7665"/>
    <w:rsid w:val="000B7B86"/>
    <w:rsid w:val="000C0FE0"/>
    <w:rsid w:val="000C1DF4"/>
    <w:rsid w:val="000D0BB6"/>
    <w:rsid w:val="000D34F9"/>
    <w:rsid w:val="000D365A"/>
    <w:rsid w:val="000D4550"/>
    <w:rsid w:val="000D725A"/>
    <w:rsid w:val="000E0DC7"/>
    <w:rsid w:val="000E2815"/>
    <w:rsid w:val="000E5F57"/>
    <w:rsid w:val="000F040F"/>
    <w:rsid w:val="000F68AF"/>
    <w:rsid w:val="00101323"/>
    <w:rsid w:val="00111592"/>
    <w:rsid w:val="00111A19"/>
    <w:rsid w:val="0011701E"/>
    <w:rsid w:val="00130B1E"/>
    <w:rsid w:val="001313D9"/>
    <w:rsid w:val="001329A7"/>
    <w:rsid w:val="00132E78"/>
    <w:rsid w:val="00144C18"/>
    <w:rsid w:val="00146063"/>
    <w:rsid w:val="0015065F"/>
    <w:rsid w:val="00151AE5"/>
    <w:rsid w:val="001535B9"/>
    <w:rsid w:val="00157A58"/>
    <w:rsid w:val="00160B10"/>
    <w:rsid w:val="00160D78"/>
    <w:rsid w:val="00162350"/>
    <w:rsid w:val="00170C55"/>
    <w:rsid w:val="00173418"/>
    <w:rsid w:val="00183469"/>
    <w:rsid w:val="00192BE9"/>
    <w:rsid w:val="001931F5"/>
    <w:rsid w:val="001933C5"/>
    <w:rsid w:val="00196642"/>
    <w:rsid w:val="001B2144"/>
    <w:rsid w:val="001B2FAD"/>
    <w:rsid w:val="001B4E01"/>
    <w:rsid w:val="001C0B13"/>
    <w:rsid w:val="001C1F73"/>
    <w:rsid w:val="001C4E4F"/>
    <w:rsid w:val="001C617B"/>
    <w:rsid w:val="001D18D0"/>
    <w:rsid w:val="001D3952"/>
    <w:rsid w:val="001E1F22"/>
    <w:rsid w:val="001F11B3"/>
    <w:rsid w:val="001F18A8"/>
    <w:rsid w:val="001F63FD"/>
    <w:rsid w:val="001F6920"/>
    <w:rsid w:val="001F76B3"/>
    <w:rsid w:val="00201266"/>
    <w:rsid w:val="00202409"/>
    <w:rsid w:val="00203113"/>
    <w:rsid w:val="00203CC1"/>
    <w:rsid w:val="00210A5D"/>
    <w:rsid w:val="00224AC3"/>
    <w:rsid w:val="0022556E"/>
    <w:rsid w:val="00237A1B"/>
    <w:rsid w:val="0025481A"/>
    <w:rsid w:val="002565E1"/>
    <w:rsid w:val="00263627"/>
    <w:rsid w:val="00275477"/>
    <w:rsid w:val="002818F4"/>
    <w:rsid w:val="00281B85"/>
    <w:rsid w:val="00284BE1"/>
    <w:rsid w:val="00287ED5"/>
    <w:rsid w:val="00294CD4"/>
    <w:rsid w:val="00296CE1"/>
    <w:rsid w:val="002A2091"/>
    <w:rsid w:val="002A226D"/>
    <w:rsid w:val="002A6B56"/>
    <w:rsid w:val="002B353F"/>
    <w:rsid w:val="002C1DD6"/>
    <w:rsid w:val="002C21DA"/>
    <w:rsid w:val="002E0230"/>
    <w:rsid w:val="002F3A06"/>
    <w:rsid w:val="002F605B"/>
    <w:rsid w:val="00303173"/>
    <w:rsid w:val="00305C43"/>
    <w:rsid w:val="00306874"/>
    <w:rsid w:val="00310601"/>
    <w:rsid w:val="00323108"/>
    <w:rsid w:val="00324483"/>
    <w:rsid w:val="00326CAE"/>
    <w:rsid w:val="003276FA"/>
    <w:rsid w:val="003311B9"/>
    <w:rsid w:val="00333261"/>
    <w:rsid w:val="00337396"/>
    <w:rsid w:val="00341305"/>
    <w:rsid w:val="00347AA2"/>
    <w:rsid w:val="00350662"/>
    <w:rsid w:val="00350963"/>
    <w:rsid w:val="00350CCC"/>
    <w:rsid w:val="0035293B"/>
    <w:rsid w:val="00354E48"/>
    <w:rsid w:val="003570CA"/>
    <w:rsid w:val="003578FC"/>
    <w:rsid w:val="00366BED"/>
    <w:rsid w:val="00372918"/>
    <w:rsid w:val="00375A7C"/>
    <w:rsid w:val="00376570"/>
    <w:rsid w:val="00381AB2"/>
    <w:rsid w:val="00386F03"/>
    <w:rsid w:val="003946D1"/>
    <w:rsid w:val="003957E7"/>
    <w:rsid w:val="003A3A69"/>
    <w:rsid w:val="003A72FB"/>
    <w:rsid w:val="003B0FCE"/>
    <w:rsid w:val="003B2EF0"/>
    <w:rsid w:val="003B312C"/>
    <w:rsid w:val="003B42F8"/>
    <w:rsid w:val="003C4738"/>
    <w:rsid w:val="003C6E42"/>
    <w:rsid w:val="003D0071"/>
    <w:rsid w:val="003D0145"/>
    <w:rsid w:val="003D0D81"/>
    <w:rsid w:val="003D283F"/>
    <w:rsid w:val="003E0362"/>
    <w:rsid w:val="003E2E5C"/>
    <w:rsid w:val="003E399E"/>
    <w:rsid w:val="003E5BE5"/>
    <w:rsid w:val="003E6393"/>
    <w:rsid w:val="003E7235"/>
    <w:rsid w:val="003F3341"/>
    <w:rsid w:val="003F3E9F"/>
    <w:rsid w:val="004036CB"/>
    <w:rsid w:val="00403A1F"/>
    <w:rsid w:val="00404A52"/>
    <w:rsid w:val="00407712"/>
    <w:rsid w:val="004120ED"/>
    <w:rsid w:val="004230BA"/>
    <w:rsid w:val="004234CE"/>
    <w:rsid w:val="004243B4"/>
    <w:rsid w:val="004259A6"/>
    <w:rsid w:val="004348F1"/>
    <w:rsid w:val="00440FA5"/>
    <w:rsid w:val="00444C08"/>
    <w:rsid w:val="004529B7"/>
    <w:rsid w:val="00452DA0"/>
    <w:rsid w:val="00456142"/>
    <w:rsid w:val="00456E03"/>
    <w:rsid w:val="00461C3F"/>
    <w:rsid w:val="0046201C"/>
    <w:rsid w:val="004622CF"/>
    <w:rsid w:val="00462721"/>
    <w:rsid w:val="00464ED3"/>
    <w:rsid w:val="004661B2"/>
    <w:rsid w:val="00475075"/>
    <w:rsid w:val="004A00A8"/>
    <w:rsid w:val="004A0A7F"/>
    <w:rsid w:val="004A117A"/>
    <w:rsid w:val="004A1A3F"/>
    <w:rsid w:val="004A1A7B"/>
    <w:rsid w:val="004A6F9B"/>
    <w:rsid w:val="004B163D"/>
    <w:rsid w:val="004B3675"/>
    <w:rsid w:val="004B6DA9"/>
    <w:rsid w:val="004B7B10"/>
    <w:rsid w:val="004C102F"/>
    <w:rsid w:val="004C57CA"/>
    <w:rsid w:val="004D47C6"/>
    <w:rsid w:val="004E100F"/>
    <w:rsid w:val="004E4993"/>
    <w:rsid w:val="004F1D9C"/>
    <w:rsid w:val="004F644E"/>
    <w:rsid w:val="004F6BF2"/>
    <w:rsid w:val="004F6CB7"/>
    <w:rsid w:val="005011D9"/>
    <w:rsid w:val="00502163"/>
    <w:rsid w:val="00502342"/>
    <w:rsid w:val="005059C6"/>
    <w:rsid w:val="00510E93"/>
    <w:rsid w:val="00511263"/>
    <w:rsid w:val="0051276E"/>
    <w:rsid w:val="005219B0"/>
    <w:rsid w:val="00523806"/>
    <w:rsid w:val="00524708"/>
    <w:rsid w:val="00524825"/>
    <w:rsid w:val="0052749E"/>
    <w:rsid w:val="00532FB1"/>
    <w:rsid w:val="00534B71"/>
    <w:rsid w:val="00535F2B"/>
    <w:rsid w:val="005360A8"/>
    <w:rsid w:val="005361EC"/>
    <w:rsid w:val="00536AE0"/>
    <w:rsid w:val="00543135"/>
    <w:rsid w:val="005527A6"/>
    <w:rsid w:val="00552FF1"/>
    <w:rsid w:val="00554299"/>
    <w:rsid w:val="0056606B"/>
    <w:rsid w:val="005661CE"/>
    <w:rsid w:val="00567146"/>
    <w:rsid w:val="005733AE"/>
    <w:rsid w:val="0057461D"/>
    <w:rsid w:val="00574B08"/>
    <w:rsid w:val="00575855"/>
    <w:rsid w:val="00576984"/>
    <w:rsid w:val="00582D40"/>
    <w:rsid w:val="00590D80"/>
    <w:rsid w:val="00593D13"/>
    <w:rsid w:val="005A0A55"/>
    <w:rsid w:val="005A41B4"/>
    <w:rsid w:val="005A4A42"/>
    <w:rsid w:val="005A6B81"/>
    <w:rsid w:val="005B734D"/>
    <w:rsid w:val="005B7CA2"/>
    <w:rsid w:val="005B7CD1"/>
    <w:rsid w:val="005D25FC"/>
    <w:rsid w:val="005D450E"/>
    <w:rsid w:val="005D5F8F"/>
    <w:rsid w:val="005D7D42"/>
    <w:rsid w:val="005E129E"/>
    <w:rsid w:val="005E3782"/>
    <w:rsid w:val="00603681"/>
    <w:rsid w:val="0061216A"/>
    <w:rsid w:val="006128C8"/>
    <w:rsid w:val="006218BD"/>
    <w:rsid w:val="00622E0C"/>
    <w:rsid w:val="00625626"/>
    <w:rsid w:val="006304BF"/>
    <w:rsid w:val="00635AEE"/>
    <w:rsid w:val="00637956"/>
    <w:rsid w:val="00640529"/>
    <w:rsid w:val="00644510"/>
    <w:rsid w:val="00644FCE"/>
    <w:rsid w:val="00662F34"/>
    <w:rsid w:val="00680162"/>
    <w:rsid w:val="0068361F"/>
    <w:rsid w:val="006A1139"/>
    <w:rsid w:val="006B38E2"/>
    <w:rsid w:val="006B4BAA"/>
    <w:rsid w:val="006B7345"/>
    <w:rsid w:val="006B7A61"/>
    <w:rsid w:val="006C35CC"/>
    <w:rsid w:val="006C7B61"/>
    <w:rsid w:val="006D1C15"/>
    <w:rsid w:val="006D2B23"/>
    <w:rsid w:val="006E2559"/>
    <w:rsid w:val="006E50BA"/>
    <w:rsid w:val="006E5AA5"/>
    <w:rsid w:val="006F0A20"/>
    <w:rsid w:val="0070033F"/>
    <w:rsid w:val="00710E8C"/>
    <w:rsid w:val="00711F1B"/>
    <w:rsid w:val="00712B15"/>
    <w:rsid w:val="007135D0"/>
    <w:rsid w:val="007222E7"/>
    <w:rsid w:val="00722339"/>
    <w:rsid w:val="00724820"/>
    <w:rsid w:val="0072513F"/>
    <w:rsid w:val="007306FA"/>
    <w:rsid w:val="00731477"/>
    <w:rsid w:val="007323ED"/>
    <w:rsid w:val="00733ED1"/>
    <w:rsid w:val="00734135"/>
    <w:rsid w:val="00735C39"/>
    <w:rsid w:val="00743058"/>
    <w:rsid w:val="00743381"/>
    <w:rsid w:val="00753095"/>
    <w:rsid w:val="00753EEE"/>
    <w:rsid w:val="00754C15"/>
    <w:rsid w:val="00757D43"/>
    <w:rsid w:val="007622EA"/>
    <w:rsid w:val="00762B89"/>
    <w:rsid w:val="007712AC"/>
    <w:rsid w:val="00771361"/>
    <w:rsid w:val="007728EB"/>
    <w:rsid w:val="007823FE"/>
    <w:rsid w:val="007834C8"/>
    <w:rsid w:val="007836B4"/>
    <w:rsid w:val="00785A1E"/>
    <w:rsid w:val="00796525"/>
    <w:rsid w:val="007A76BA"/>
    <w:rsid w:val="007B1A88"/>
    <w:rsid w:val="007B31F6"/>
    <w:rsid w:val="007B32B0"/>
    <w:rsid w:val="007B64FE"/>
    <w:rsid w:val="007C3714"/>
    <w:rsid w:val="007C5CAD"/>
    <w:rsid w:val="007C6866"/>
    <w:rsid w:val="007D09AE"/>
    <w:rsid w:val="007D21CF"/>
    <w:rsid w:val="007D7784"/>
    <w:rsid w:val="007F41F9"/>
    <w:rsid w:val="00803F69"/>
    <w:rsid w:val="00804ACC"/>
    <w:rsid w:val="008127CA"/>
    <w:rsid w:val="008129C4"/>
    <w:rsid w:val="00814FD3"/>
    <w:rsid w:val="00816695"/>
    <w:rsid w:val="00820362"/>
    <w:rsid w:val="00821370"/>
    <w:rsid w:val="008230ED"/>
    <w:rsid w:val="008232BC"/>
    <w:rsid w:val="00825BF9"/>
    <w:rsid w:val="00827FB5"/>
    <w:rsid w:val="00833FF5"/>
    <w:rsid w:val="00835614"/>
    <w:rsid w:val="00836C7E"/>
    <w:rsid w:val="008460B0"/>
    <w:rsid w:val="00846824"/>
    <w:rsid w:val="0085170F"/>
    <w:rsid w:val="008542C2"/>
    <w:rsid w:val="008566CB"/>
    <w:rsid w:val="00857920"/>
    <w:rsid w:val="0086706B"/>
    <w:rsid w:val="0086742E"/>
    <w:rsid w:val="008728E0"/>
    <w:rsid w:val="008757C6"/>
    <w:rsid w:val="00880E82"/>
    <w:rsid w:val="00882314"/>
    <w:rsid w:val="00890B0E"/>
    <w:rsid w:val="00895D73"/>
    <w:rsid w:val="008B3DEE"/>
    <w:rsid w:val="008B5E8B"/>
    <w:rsid w:val="008C38B5"/>
    <w:rsid w:val="008C5973"/>
    <w:rsid w:val="008C7702"/>
    <w:rsid w:val="008E2C7C"/>
    <w:rsid w:val="008E2F6C"/>
    <w:rsid w:val="008F0F36"/>
    <w:rsid w:val="008F0F84"/>
    <w:rsid w:val="008F1437"/>
    <w:rsid w:val="008F632C"/>
    <w:rsid w:val="008F66D2"/>
    <w:rsid w:val="008F6F27"/>
    <w:rsid w:val="008F7A96"/>
    <w:rsid w:val="008F7B1F"/>
    <w:rsid w:val="00904F11"/>
    <w:rsid w:val="00907E59"/>
    <w:rsid w:val="009106FA"/>
    <w:rsid w:val="00916AA6"/>
    <w:rsid w:val="00916BDE"/>
    <w:rsid w:val="0092327D"/>
    <w:rsid w:val="009305C4"/>
    <w:rsid w:val="009321E4"/>
    <w:rsid w:val="0093281A"/>
    <w:rsid w:val="0093714F"/>
    <w:rsid w:val="00940D4A"/>
    <w:rsid w:val="00943271"/>
    <w:rsid w:val="0094705D"/>
    <w:rsid w:val="00961C60"/>
    <w:rsid w:val="0096394A"/>
    <w:rsid w:val="0096519D"/>
    <w:rsid w:val="009654E4"/>
    <w:rsid w:val="00966A58"/>
    <w:rsid w:val="0096728F"/>
    <w:rsid w:val="0097116C"/>
    <w:rsid w:val="00975A3C"/>
    <w:rsid w:val="009811DE"/>
    <w:rsid w:val="00982C10"/>
    <w:rsid w:val="0098377F"/>
    <w:rsid w:val="009877F0"/>
    <w:rsid w:val="00991A9A"/>
    <w:rsid w:val="0099203B"/>
    <w:rsid w:val="0099218C"/>
    <w:rsid w:val="00992AB5"/>
    <w:rsid w:val="009A22AE"/>
    <w:rsid w:val="009A3363"/>
    <w:rsid w:val="009A4284"/>
    <w:rsid w:val="009B36EC"/>
    <w:rsid w:val="009B3725"/>
    <w:rsid w:val="009B4679"/>
    <w:rsid w:val="009C532B"/>
    <w:rsid w:val="009C697D"/>
    <w:rsid w:val="009D0A30"/>
    <w:rsid w:val="009D0EC4"/>
    <w:rsid w:val="009D30C1"/>
    <w:rsid w:val="009D6989"/>
    <w:rsid w:val="009E05F9"/>
    <w:rsid w:val="009E1A99"/>
    <w:rsid w:val="009E3337"/>
    <w:rsid w:val="009E7C04"/>
    <w:rsid w:val="009F1D57"/>
    <w:rsid w:val="009F7287"/>
    <w:rsid w:val="00A01981"/>
    <w:rsid w:val="00A066B5"/>
    <w:rsid w:val="00A07625"/>
    <w:rsid w:val="00A104FC"/>
    <w:rsid w:val="00A1253E"/>
    <w:rsid w:val="00A12B7B"/>
    <w:rsid w:val="00A14DC4"/>
    <w:rsid w:val="00A1735A"/>
    <w:rsid w:val="00A20967"/>
    <w:rsid w:val="00A21E27"/>
    <w:rsid w:val="00A33D14"/>
    <w:rsid w:val="00A34DC5"/>
    <w:rsid w:val="00A37D0A"/>
    <w:rsid w:val="00A40263"/>
    <w:rsid w:val="00A420FB"/>
    <w:rsid w:val="00A42716"/>
    <w:rsid w:val="00A506C1"/>
    <w:rsid w:val="00A61DC4"/>
    <w:rsid w:val="00A73BFF"/>
    <w:rsid w:val="00A74AFD"/>
    <w:rsid w:val="00A752EA"/>
    <w:rsid w:val="00A76883"/>
    <w:rsid w:val="00A8126B"/>
    <w:rsid w:val="00A81F07"/>
    <w:rsid w:val="00A92F3D"/>
    <w:rsid w:val="00A95B06"/>
    <w:rsid w:val="00A961E9"/>
    <w:rsid w:val="00AA591D"/>
    <w:rsid w:val="00AA7673"/>
    <w:rsid w:val="00AB34FF"/>
    <w:rsid w:val="00AB5A6F"/>
    <w:rsid w:val="00AC0175"/>
    <w:rsid w:val="00AC4AE2"/>
    <w:rsid w:val="00AC5E9B"/>
    <w:rsid w:val="00AC7B0C"/>
    <w:rsid w:val="00AD08D5"/>
    <w:rsid w:val="00AD15C4"/>
    <w:rsid w:val="00AD196B"/>
    <w:rsid w:val="00AD32A7"/>
    <w:rsid w:val="00AD373D"/>
    <w:rsid w:val="00AE48DF"/>
    <w:rsid w:val="00AE5FED"/>
    <w:rsid w:val="00B0250B"/>
    <w:rsid w:val="00B06D82"/>
    <w:rsid w:val="00B11E2C"/>
    <w:rsid w:val="00B12F75"/>
    <w:rsid w:val="00B16E93"/>
    <w:rsid w:val="00B34036"/>
    <w:rsid w:val="00B363EB"/>
    <w:rsid w:val="00B46C8D"/>
    <w:rsid w:val="00B62302"/>
    <w:rsid w:val="00B66B2E"/>
    <w:rsid w:val="00B67859"/>
    <w:rsid w:val="00B720F6"/>
    <w:rsid w:val="00B7351B"/>
    <w:rsid w:val="00B93323"/>
    <w:rsid w:val="00BA01C3"/>
    <w:rsid w:val="00BA15C2"/>
    <w:rsid w:val="00BA1ADD"/>
    <w:rsid w:val="00BA28FD"/>
    <w:rsid w:val="00BD4F7D"/>
    <w:rsid w:val="00BD584D"/>
    <w:rsid w:val="00BE1DD7"/>
    <w:rsid w:val="00BE268B"/>
    <w:rsid w:val="00BF1697"/>
    <w:rsid w:val="00BF34D5"/>
    <w:rsid w:val="00BF53D8"/>
    <w:rsid w:val="00BF773A"/>
    <w:rsid w:val="00C0190E"/>
    <w:rsid w:val="00C03067"/>
    <w:rsid w:val="00C12679"/>
    <w:rsid w:val="00C24704"/>
    <w:rsid w:val="00C26DD0"/>
    <w:rsid w:val="00C3172F"/>
    <w:rsid w:val="00C3513F"/>
    <w:rsid w:val="00C40110"/>
    <w:rsid w:val="00C43213"/>
    <w:rsid w:val="00C45E14"/>
    <w:rsid w:val="00C5382F"/>
    <w:rsid w:val="00C549BA"/>
    <w:rsid w:val="00C611FD"/>
    <w:rsid w:val="00C6171E"/>
    <w:rsid w:val="00C710A7"/>
    <w:rsid w:val="00C71392"/>
    <w:rsid w:val="00C732F4"/>
    <w:rsid w:val="00C73413"/>
    <w:rsid w:val="00C77599"/>
    <w:rsid w:val="00C83CC5"/>
    <w:rsid w:val="00C9176D"/>
    <w:rsid w:val="00C9339D"/>
    <w:rsid w:val="00CA10B3"/>
    <w:rsid w:val="00CA1A65"/>
    <w:rsid w:val="00CA2765"/>
    <w:rsid w:val="00CA27CC"/>
    <w:rsid w:val="00CB4B68"/>
    <w:rsid w:val="00CB6B34"/>
    <w:rsid w:val="00CC1A99"/>
    <w:rsid w:val="00CC3749"/>
    <w:rsid w:val="00CC41F7"/>
    <w:rsid w:val="00CC7B60"/>
    <w:rsid w:val="00CD6A6F"/>
    <w:rsid w:val="00CE2207"/>
    <w:rsid w:val="00CE347A"/>
    <w:rsid w:val="00CE4798"/>
    <w:rsid w:val="00CE6E7E"/>
    <w:rsid w:val="00CF4424"/>
    <w:rsid w:val="00CF6762"/>
    <w:rsid w:val="00CF7CC9"/>
    <w:rsid w:val="00D02666"/>
    <w:rsid w:val="00D03CC5"/>
    <w:rsid w:val="00D047D4"/>
    <w:rsid w:val="00D048EC"/>
    <w:rsid w:val="00D05A24"/>
    <w:rsid w:val="00D15234"/>
    <w:rsid w:val="00D20610"/>
    <w:rsid w:val="00D20C3E"/>
    <w:rsid w:val="00D216F4"/>
    <w:rsid w:val="00D21923"/>
    <w:rsid w:val="00D21B35"/>
    <w:rsid w:val="00D22EC8"/>
    <w:rsid w:val="00D27A8B"/>
    <w:rsid w:val="00D33BA3"/>
    <w:rsid w:val="00D34E37"/>
    <w:rsid w:val="00D43B52"/>
    <w:rsid w:val="00D4433F"/>
    <w:rsid w:val="00D45551"/>
    <w:rsid w:val="00D52504"/>
    <w:rsid w:val="00D5651D"/>
    <w:rsid w:val="00D73C3A"/>
    <w:rsid w:val="00D75E08"/>
    <w:rsid w:val="00D81E01"/>
    <w:rsid w:val="00D854FA"/>
    <w:rsid w:val="00D919C2"/>
    <w:rsid w:val="00D942EC"/>
    <w:rsid w:val="00D95933"/>
    <w:rsid w:val="00D96407"/>
    <w:rsid w:val="00D972AE"/>
    <w:rsid w:val="00DA12AF"/>
    <w:rsid w:val="00DA70B9"/>
    <w:rsid w:val="00DA79F8"/>
    <w:rsid w:val="00DB5EA7"/>
    <w:rsid w:val="00DB7564"/>
    <w:rsid w:val="00DC314E"/>
    <w:rsid w:val="00DC4A8C"/>
    <w:rsid w:val="00DC7E9E"/>
    <w:rsid w:val="00DD518A"/>
    <w:rsid w:val="00DE3D1B"/>
    <w:rsid w:val="00DF1A57"/>
    <w:rsid w:val="00DF4DE6"/>
    <w:rsid w:val="00E00A91"/>
    <w:rsid w:val="00E00E25"/>
    <w:rsid w:val="00E02F2E"/>
    <w:rsid w:val="00E1286D"/>
    <w:rsid w:val="00E14045"/>
    <w:rsid w:val="00E14850"/>
    <w:rsid w:val="00E35131"/>
    <w:rsid w:val="00E4492C"/>
    <w:rsid w:val="00E53877"/>
    <w:rsid w:val="00E62D2A"/>
    <w:rsid w:val="00E62F3E"/>
    <w:rsid w:val="00E630F4"/>
    <w:rsid w:val="00E6592E"/>
    <w:rsid w:val="00E67FB6"/>
    <w:rsid w:val="00E71E47"/>
    <w:rsid w:val="00E7474A"/>
    <w:rsid w:val="00E82D9D"/>
    <w:rsid w:val="00E83500"/>
    <w:rsid w:val="00E852E3"/>
    <w:rsid w:val="00E855C5"/>
    <w:rsid w:val="00E8719C"/>
    <w:rsid w:val="00E90680"/>
    <w:rsid w:val="00E926A1"/>
    <w:rsid w:val="00E951AC"/>
    <w:rsid w:val="00E95E1D"/>
    <w:rsid w:val="00EA6A82"/>
    <w:rsid w:val="00EB24D5"/>
    <w:rsid w:val="00EB6949"/>
    <w:rsid w:val="00EC45EF"/>
    <w:rsid w:val="00EC61F0"/>
    <w:rsid w:val="00ED1FCF"/>
    <w:rsid w:val="00ED300D"/>
    <w:rsid w:val="00ED7AD3"/>
    <w:rsid w:val="00EE2E27"/>
    <w:rsid w:val="00EE351E"/>
    <w:rsid w:val="00EE5B62"/>
    <w:rsid w:val="00EE64E3"/>
    <w:rsid w:val="00EF0767"/>
    <w:rsid w:val="00EF2AD2"/>
    <w:rsid w:val="00EF332B"/>
    <w:rsid w:val="00EF5D8E"/>
    <w:rsid w:val="00EF6B7C"/>
    <w:rsid w:val="00F066DD"/>
    <w:rsid w:val="00F07602"/>
    <w:rsid w:val="00F15B0A"/>
    <w:rsid w:val="00F16C6F"/>
    <w:rsid w:val="00F20F73"/>
    <w:rsid w:val="00F2231D"/>
    <w:rsid w:val="00F24F1E"/>
    <w:rsid w:val="00F33C07"/>
    <w:rsid w:val="00F34274"/>
    <w:rsid w:val="00F40E07"/>
    <w:rsid w:val="00F4273D"/>
    <w:rsid w:val="00F443C5"/>
    <w:rsid w:val="00F45458"/>
    <w:rsid w:val="00F47BCF"/>
    <w:rsid w:val="00F47D46"/>
    <w:rsid w:val="00F509A8"/>
    <w:rsid w:val="00F6022E"/>
    <w:rsid w:val="00F66528"/>
    <w:rsid w:val="00F71E0B"/>
    <w:rsid w:val="00F733B8"/>
    <w:rsid w:val="00F7680F"/>
    <w:rsid w:val="00F76FA7"/>
    <w:rsid w:val="00F82B3D"/>
    <w:rsid w:val="00F84F5A"/>
    <w:rsid w:val="00F85065"/>
    <w:rsid w:val="00F86193"/>
    <w:rsid w:val="00F9011F"/>
    <w:rsid w:val="00F90C20"/>
    <w:rsid w:val="00F92475"/>
    <w:rsid w:val="00F9308A"/>
    <w:rsid w:val="00F936EA"/>
    <w:rsid w:val="00F95E8C"/>
    <w:rsid w:val="00FA23E9"/>
    <w:rsid w:val="00FA4D10"/>
    <w:rsid w:val="00FA7E95"/>
    <w:rsid w:val="00FB0CE9"/>
    <w:rsid w:val="00FB0E2B"/>
    <w:rsid w:val="00FB17B6"/>
    <w:rsid w:val="00FB5E31"/>
    <w:rsid w:val="00FB6DA4"/>
    <w:rsid w:val="00FD55BA"/>
    <w:rsid w:val="00FD659A"/>
    <w:rsid w:val="00FD6C4D"/>
    <w:rsid w:val="00FD7BD8"/>
    <w:rsid w:val="00FE164A"/>
    <w:rsid w:val="00FE1D5D"/>
    <w:rsid w:val="00FF2512"/>
    <w:rsid w:val="00FF25F6"/>
    <w:rsid w:val="00FF381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D3BB2"/>
  <w15:chartTrackingRefBased/>
  <w15:docId w15:val="{34121DB5-A501-4EBB-AEE8-E58F9CD2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73"/>
    <w:pPr>
      <w:tabs>
        <w:tab w:val="left" w:pos="850"/>
        <w:tab w:val="left" w:pos="1191"/>
        <w:tab w:val="left" w:pos="1531"/>
      </w:tabs>
      <w:spacing w:after="0" w:line="240" w:lineRule="auto"/>
      <w:jc w:val="both"/>
    </w:pPr>
    <w:rPr>
      <w:rFonts w:ascii="Times New Roman" w:hAnsi="Times New Roman" w:cs="Times New Roman"/>
    </w:rPr>
  </w:style>
  <w:style w:type="paragraph" w:styleId="Heading1">
    <w:name w:val="heading 1"/>
    <w:next w:val="Para0"/>
    <w:link w:val="Heading1Char"/>
    <w:uiPriority w:val="4"/>
    <w:qFormat/>
    <w:rsid w:val="00D75E08"/>
    <w:pPr>
      <w:keepNext/>
      <w:keepLines/>
      <w:pageBreakBefore/>
      <w:framePr w:w="9072" w:wrap="notBeside" w:vAnchor="text" w:hAnchor="page" w:xAlign="center" w:y="1"/>
      <w:numPr>
        <w:numId w:val="4"/>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outlineLvl w:val="0"/>
    </w:pPr>
    <w:rPr>
      <w:rFonts w:asciiTheme="majorHAnsi" w:eastAsiaTheme="majorEastAsia" w:hAnsiTheme="majorHAnsi" w:cstheme="majorBidi"/>
      <w:b/>
      <w:color w:val="348E8C" w:themeColor="accent5"/>
      <w:sz w:val="56"/>
      <w:szCs w:val="32"/>
    </w:rPr>
  </w:style>
  <w:style w:type="paragraph" w:styleId="Heading2">
    <w:name w:val="heading 2"/>
    <w:next w:val="Para0"/>
    <w:link w:val="Heading2Char"/>
    <w:uiPriority w:val="7"/>
    <w:qFormat/>
    <w:rsid w:val="00D75E08"/>
    <w:pPr>
      <w:keepNext/>
      <w:numPr>
        <w:ilvl w:val="1"/>
        <w:numId w:val="4"/>
      </w:numPr>
      <w:spacing w:before="440" w:after="240" w:line="320" w:lineRule="exact"/>
      <w:outlineLvl w:val="1"/>
    </w:pPr>
    <w:rPr>
      <w:rFonts w:eastAsiaTheme="majorEastAsia" w:cstheme="majorBidi"/>
      <w:b/>
      <w:color w:val="348E8C" w:themeColor="accent1"/>
      <w:sz w:val="24"/>
      <w:szCs w:val="26"/>
    </w:rPr>
  </w:style>
  <w:style w:type="paragraph" w:styleId="Heading3">
    <w:name w:val="heading 3"/>
    <w:next w:val="Para0"/>
    <w:link w:val="Heading3Char"/>
    <w:uiPriority w:val="9"/>
    <w:qFormat/>
    <w:rsid w:val="00D75E08"/>
    <w:pPr>
      <w:keepNext/>
      <w:keepLines/>
      <w:numPr>
        <w:ilvl w:val="2"/>
        <w:numId w:val="4"/>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D75E08"/>
    <w:pPr>
      <w:keepNext/>
      <w:keepLines/>
      <w:numPr>
        <w:ilvl w:val="3"/>
        <w:numId w:val="4"/>
      </w:numPr>
      <w:spacing w:before="240" w:after="180" w:line="280" w:lineRule="exact"/>
      <w:outlineLvl w:val="3"/>
    </w:pPr>
    <w:rPr>
      <w:rFonts w:eastAsiaTheme="majorEastAsia" w:cstheme="majorBidi"/>
      <w:i/>
      <w:iCs/>
      <w:color w:val="2A2E33" w:themeColor="text2"/>
    </w:rPr>
  </w:style>
  <w:style w:type="paragraph" w:styleId="Heading5">
    <w:name w:val="heading 5"/>
    <w:next w:val="Para0"/>
    <w:link w:val="Heading5Char"/>
    <w:uiPriority w:val="9"/>
    <w:qFormat/>
    <w:rsid w:val="00D75E08"/>
    <w:pPr>
      <w:keepNext/>
      <w:keepLines/>
      <w:numPr>
        <w:ilvl w:val="4"/>
        <w:numId w:val="4"/>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rsid w:val="00D75E08"/>
    <w:pPr>
      <w:keepNext/>
      <w:pageBreakBefore/>
      <w:framePr w:w="7938" w:h="13325" w:hRule="exact" w:wrap="notBeside" w:vAnchor="page" w:hAnchor="page" w:xAlign="center" w:yAlign="center"/>
      <w:numPr>
        <w:ilvl w:val="5"/>
        <w:numId w:val="4"/>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348E8C" w:themeColor="accent5"/>
      <w:sz w:val="72"/>
    </w:rPr>
  </w:style>
  <w:style w:type="paragraph" w:styleId="Heading7">
    <w:name w:val="heading 7"/>
    <w:aliases w:val="Doc AnnX"/>
    <w:basedOn w:val="Heading9"/>
    <w:next w:val="Para0"/>
    <w:link w:val="Heading7Char"/>
    <w:uiPriority w:val="19"/>
    <w:qFormat/>
    <w:rsid w:val="00D75E08"/>
    <w:pPr>
      <w:numPr>
        <w:ilvl w:val="6"/>
      </w:numPr>
      <w:spacing w:after="1500" w:line="600" w:lineRule="exact"/>
      <w:outlineLvl w:val="6"/>
    </w:pPr>
  </w:style>
  <w:style w:type="paragraph" w:styleId="Heading8">
    <w:name w:val="heading 8"/>
    <w:aliases w:val="Part AnnX"/>
    <w:next w:val="Para0"/>
    <w:link w:val="Heading8Char"/>
    <w:uiPriority w:val="9"/>
    <w:rsid w:val="00B06D82"/>
    <w:pPr>
      <w:keepNext/>
      <w:pageBreakBefore/>
      <w:numPr>
        <w:ilvl w:val="7"/>
        <w:numId w:val="4"/>
      </w:numPr>
      <w:spacing w:before="1200" w:after="720"/>
      <w:jc w:val="center"/>
      <w:outlineLvl w:val="7"/>
    </w:pPr>
    <w:rPr>
      <w:rFonts w:asciiTheme="majorHAnsi" w:eastAsiaTheme="majorEastAsia" w:hAnsiTheme="majorHAnsi" w:cstheme="majorBidi"/>
      <w:b/>
      <w:color w:val="348E8C" w:themeColor="accent1"/>
      <w:sz w:val="28"/>
      <w:szCs w:val="21"/>
    </w:rPr>
  </w:style>
  <w:style w:type="paragraph" w:styleId="Heading9">
    <w:name w:val="heading 9"/>
    <w:aliases w:val="Chap AnnX"/>
    <w:next w:val="Para0"/>
    <w:link w:val="Heading9Char"/>
    <w:uiPriority w:val="20"/>
    <w:qFormat/>
    <w:rsid w:val="00D75E08"/>
    <w:pPr>
      <w:keepNext/>
      <w:pageBreakBefore/>
      <w:numPr>
        <w:ilvl w:val="8"/>
        <w:numId w:val="4"/>
      </w:numPr>
      <w:spacing w:after="960" w:line="520" w:lineRule="exact"/>
      <w:outlineLvl w:val="8"/>
    </w:pPr>
    <w:rPr>
      <w:rFonts w:asciiTheme="majorHAnsi" w:eastAsiaTheme="majorEastAsia" w:hAnsiTheme="majorHAnsi" w:cstheme="majorBidi"/>
      <w:b/>
      <w:iCs/>
      <w:color w:val="348E8C"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D75E08"/>
    <w:pPr>
      <w:spacing w:before="120" w:after="120" w:line="240" w:lineRule="auto"/>
      <w:jc w:val="both"/>
    </w:pPr>
    <w:rPr>
      <w:color w:val="000000" w:themeColor="text1"/>
      <w:sz w:val="20"/>
    </w:rPr>
  </w:style>
  <w:style w:type="paragraph" w:styleId="Title">
    <w:name w:val="Title"/>
    <w:next w:val="Para0"/>
    <w:link w:val="TitleChar"/>
    <w:qFormat/>
    <w:rsid w:val="00D75E08"/>
    <w:pPr>
      <w:keepNext/>
      <w:keepLines/>
      <w:pageBreakBefore/>
      <w:spacing w:after="2000" w:line="840" w:lineRule="exact"/>
      <w:outlineLvl w:val="0"/>
    </w:pPr>
    <w:rPr>
      <w:rFonts w:asciiTheme="majorHAnsi" w:eastAsiaTheme="majorEastAsia" w:hAnsiTheme="majorHAnsi" w:cstheme="majorBidi"/>
      <w:b/>
      <w:color w:val="348E8C" w:themeColor="accent1"/>
      <w:sz w:val="72"/>
      <w:szCs w:val="56"/>
    </w:rPr>
  </w:style>
  <w:style w:type="character" w:customStyle="1" w:styleId="ParaChar">
    <w:name w:val="Para Char"/>
    <w:basedOn w:val="DefaultParagraphFont"/>
    <w:link w:val="Para0"/>
    <w:uiPriority w:val="4"/>
    <w:rsid w:val="00D75E08"/>
    <w:rPr>
      <w:color w:val="000000" w:themeColor="text1"/>
      <w:sz w:val="20"/>
    </w:rPr>
  </w:style>
  <w:style w:type="character" w:customStyle="1" w:styleId="TitleChar">
    <w:name w:val="Title Char"/>
    <w:basedOn w:val="DefaultParagraphFont"/>
    <w:link w:val="Title"/>
    <w:rsid w:val="00D75E08"/>
    <w:rPr>
      <w:rFonts w:asciiTheme="majorHAnsi" w:eastAsiaTheme="majorEastAsia" w:hAnsiTheme="majorHAnsi" w:cstheme="majorBidi"/>
      <w:b/>
      <w:color w:val="348E8C" w:themeColor="accent1"/>
      <w:sz w:val="72"/>
      <w:szCs w:val="56"/>
    </w:rPr>
  </w:style>
  <w:style w:type="character" w:customStyle="1" w:styleId="Heading1Char">
    <w:name w:val="Heading 1 Char"/>
    <w:basedOn w:val="DefaultParagraphFont"/>
    <w:link w:val="Heading1"/>
    <w:uiPriority w:val="4"/>
    <w:rsid w:val="00D75E08"/>
    <w:rPr>
      <w:rFonts w:asciiTheme="majorHAnsi" w:eastAsiaTheme="majorEastAsia" w:hAnsiTheme="majorHAnsi" w:cstheme="majorBidi"/>
      <w:b/>
      <w:color w:val="348E8C" w:themeColor="accent5"/>
      <w:sz w:val="56"/>
      <w:szCs w:val="32"/>
      <w:shd w:val="clear" w:color="auto" w:fill="FFFFFF" w:themeFill="accent2"/>
    </w:rPr>
  </w:style>
  <w:style w:type="character" w:customStyle="1" w:styleId="Heading2Char">
    <w:name w:val="Heading 2 Char"/>
    <w:basedOn w:val="DefaultParagraphFont"/>
    <w:link w:val="Heading2"/>
    <w:uiPriority w:val="7"/>
    <w:rsid w:val="00D75E08"/>
    <w:rPr>
      <w:rFonts w:eastAsiaTheme="majorEastAsia" w:cstheme="majorBidi"/>
      <w:b/>
      <w:color w:val="348E8C" w:themeColor="accent1"/>
      <w:sz w:val="24"/>
      <w:szCs w:val="26"/>
    </w:rPr>
  </w:style>
  <w:style w:type="character" w:customStyle="1" w:styleId="Heading3Char">
    <w:name w:val="Heading 3 Char"/>
    <w:basedOn w:val="DefaultParagraphFont"/>
    <w:link w:val="Heading3"/>
    <w:uiPriority w:val="9"/>
    <w:rsid w:val="00D75E08"/>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D75E08"/>
    <w:rPr>
      <w:rFonts w:eastAsiaTheme="majorEastAsia" w:cstheme="majorBidi"/>
      <w:i/>
      <w:iCs/>
      <w:color w:val="2A2E33" w:themeColor="text2"/>
    </w:rPr>
  </w:style>
  <w:style w:type="character" w:customStyle="1" w:styleId="Heading5Char">
    <w:name w:val="Heading 5 Char"/>
    <w:basedOn w:val="DefaultParagraphFont"/>
    <w:link w:val="Heading5"/>
    <w:uiPriority w:val="9"/>
    <w:rsid w:val="00D75E08"/>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D75E08"/>
    <w:rPr>
      <w:rFonts w:asciiTheme="majorHAnsi" w:eastAsiaTheme="majorEastAsia" w:hAnsiTheme="majorHAnsi" w:cstheme="majorBidi"/>
      <w:b/>
      <w:color w:val="348E8C"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D75E08"/>
    <w:rPr>
      <w:rFonts w:asciiTheme="majorHAnsi" w:eastAsiaTheme="majorEastAsia" w:hAnsiTheme="majorHAnsi" w:cstheme="majorBidi"/>
      <w:b/>
      <w:iCs/>
      <w:color w:val="348E8C"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348E8C" w:themeColor="accent1"/>
      <w:sz w:val="28"/>
      <w:szCs w:val="21"/>
    </w:rPr>
  </w:style>
  <w:style w:type="character" w:customStyle="1" w:styleId="Heading9Char">
    <w:name w:val="Heading 9 Char"/>
    <w:aliases w:val="Chap AnnX Char"/>
    <w:basedOn w:val="DefaultParagraphFont"/>
    <w:link w:val="Heading9"/>
    <w:uiPriority w:val="20"/>
    <w:rsid w:val="00D75E08"/>
    <w:rPr>
      <w:rFonts w:asciiTheme="majorHAnsi" w:eastAsiaTheme="majorEastAsia" w:hAnsiTheme="majorHAnsi" w:cstheme="majorBidi"/>
      <w:b/>
      <w:iCs/>
      <w:color w:val="348E8C" w:themeColor="accent1"/>
      <w:sz w:val="48"/>
      <w:szCs w:val="21"/>
    </w:rPr>
  </w:style>
  <w:style w:type="paragraph" w:customStyle="1" w:styleId="Title2">
    <w:name w:val="Title 2"/>
    <w:next w:val="Para0"/>
    <w:uiPriority w:val="1"/>
    <w:qFormat/>
    <w:rsid w:val="00D75E08"/>
    <w:pPr>
      <w:keepNext/>
      <w:spacing w:before="360" w:after="240" w:line="320" w:lineRule="exact"/>
      <w:outlineLvl w:val="1"/>
    </w:pPr>
    <w:rPr>
      <w:rFonts w:eastAsiaTheme="majorEastAsia" w:cstheme="majorBidi"/>
      <w:b/>
      <w:color w:val="348E8C" w:themeColor="accent1"/>
      <w:sz w:val="24"/>
      <w:szCs w:val="26"/>
    </w:rPr>
  </w:style>
  <w:style w:type="paragraph" w:customStyle="1" w:styleId="Title3">
    <w:name w:val="Title 3"/>
    <w:next w:val="Para0"/>
    <w:uiPriority w:val="2"/>
    <w:qFormat/>
    <w:rsid w:val="00D75E08"/>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D75E08"/>
    <w:pPr>
      <w:pBdr>
        <w:top w:val="single" w:sz="12" w:space="12" w:color="348E8C" w:themeColor="accent1"/>
        <w:bottom w:val="single" w:sz="36" w:space="12" w:color="348E8C" w:themeColor="accent1"/>
      </w:pBdr>
      <w:spacing w:before="3000" w:after="60" w:line="320" w:lineRule="exact"/>
      <w:ind w:left="1247"/>
      <w:contextualSpacing/>
    </w:pPr>
    <w:rPr>
      <w:color w:val="348E8C" w:themeColor="accent1"/>
      <w:sz w:val="24"/>
    </w:rPr>
  </w:style>
  <w:style w:type="paragraph" w:customStyle="1" w:styleId="Para">
    <w:name w:val="Para #"/>
    <w:uiPriority w:val="4"/>
    <w:qFormat/>
    <w:rsid w:val="00D75E08"/>
    <w:pPr>
      <w:numPr>
        <w:numId w:val="5"/>
      </w:numPr>
      <w:spacing w:before="120" w:after="120" w:line="260" w:lineRule="atLeast"/>
      <w:jc w:val="both"/>
    </w:pPr>
    <w:rPr>
      <w:sz w:val="20"/>
    </w:rPr>
  </w:style>
  <w:style w:type="paragraph" w:customStyle="1" w:styleId="NumberedList">
    <w:name w:val="Numbered List"/>
    <w:uiPriority w:val="12"/>
    <w:qFormat/>
    <w:rsid w:val="00836C7E"/>
    <w:pPr>
      <w:numPr>
        <w:numId w:val="6"/>
      </w:numPr>
      <w:spacing w:after="120" w:line="240" w:lineRule="auto"/>
      <w:jc w:val="both"/>
    </w:pPr>
    <w:rPr>
      <w:color w:val="000000" w:themeColor="text1"/>
      <w:sz w:val="20"/>
    </w:rPr>
  </w:style>
  <w:style w:type="paragraph" w:customStyle="1" w:styleId="BulletedList">
    <w:name w:val="Bulleted List"/>
    <w:uiPriority w:val="12"/>
    <w:qFormat/>
    <w:rsid w:val="00836C7E"/>
    <w:pPr>
      <w:numPr>
        <w:numId w:val="7"/>
      </w:numPr>
      <w:spacing w:after="120" w:line="240" w:lineRule="auto"/>
      <w:jc w:val="both"/>
    </w:pPr>
    <w:rPr>
      <w:color w:val="000000" w:themeColor="text1"/>
      <w:sz w:val="20"/>
    </w:rPr>
  </w:style>
  <w:style w:type="paragraph" w:styleId="ListParagraph">
    <w:name w:val="List Paragraph"/>
    <w:basedOn w:val="Normal"/>
    <w:uiPriority w:val="34"/>
    <w:qFormat/>
    <w:rsid w:val="004230BA"/>
    <w:pPr>
      <w:ind w:left="720"/>
      <w:contextualSpacing/>
    </w:pPr>
  </w:style>
  <w:style w:type="paragraph" w:customStyle="1" w:styleId="CaptionSubtitle">
    <w:name w:val="Caption Subtitle"/>
    <w:next w:val="Para0"/>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348E8C" w:themeColor="accent1"/>
      <w:sz w:val="24"/>
      <w:szCs w:val="18"/>
    </w:rPr>
  </w:style>
  <w:style w:type="paragraph" w:customStyle="1" w:styleId="BoxHeading">
    <w:name w:val="Box Heading"/>
    <w:next w:val="Para0"/>
    <w:uiPriority w:val="13"/>
    <w:qFormat/>
    <w:rsid w:val="00D75E08"/>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D75E08"/>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15"/>
    <w:qFormat/>
    <w:rsid w:val="00D75E08"/>
    <w:pPr>
      <w:spacing w:before="10" w:after="20" w:line="200" w:lineRule="exact"/>
      <w:jc w:val="right"/>
    </w:pPr>
    <w:rPr>
      <w:rFonts w:ascii="Arial Narrow" w:hAnsi="Arial Narrow"/>
      <w:color w:val="000000" w:themeColor="text1"/>
      <w:sz w:val="17"/>
    </w:rPr>
  </w:style>
  <w:style w:type="paragraph" w:customStyle="1" w:styleId="TableRow">
    <w:name w:val="Table Row"/>
    <w:uiPriority w:val="15"/>
    <w:qFormat/>
    <w:rsid w:val="00D75E08"/>
    <w:pPr>
      <w:spacing w:before="10" w:after="20" w:line="200" w:lineRule="exact"/>
    </w:pPr>
    <w:rPr>
      <w:rFonts w:ascii="Arial Narrow" w:hAnsi="Arial Narrow"/>
      <w:color w:val="000000" w:themeColor="text1"/>
      <w:sz w:val="17"/>
    </w:rPr>
  </w:style>
  <w:style w:type="paragraph" w:customStyle="1" w:styleId="TableColumn">
    <w:name w:val="Table Column"/>
    <w:uiPriority w:val="15"/>
    <w:qFormat/>
    <w:rsid w:val="00D75E08"/>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D75E08"/>
    <w:pPr>
      <w:spacing w:before="360" w:after="360" w:line="360" w:lineRule="exact"/>
      <w:ind w:left="2268"/>
      <w:jc w:val="both"/>
    </w:pPr>
    <w:rPr>
      <w:rFonts w:asciiTheme="majorHAnsi" w:hAnsiTheme="majorHAnsi"/>
      <w:iCs/>
      <w:color w:val="348E8C" w:themeColor="accent1"/>
      <w:sz w:val="28"/>
    </w:rPr>
  </w:style>
  <w:style w:type="paragraph" w:styleId="Quote">
    <w:name w:val="Quote"/>
    <w:aliases w:val="Quotation (long)"/>
    <w:basedOn w:val="Normal"/>
    <w:link w:val="QuoteChar"/>
    <w:uiPriority w:val="18"/>
    <w:qFormat/>
    <w:rsid w:val="00D75E08"/>
    <w:pPr>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D75E08"/>
    <w:rPr>
      <w:rFonts w:asciiTheme="majorHAnsi" w:hAnsiTheme="majorHAnsi"/>
      <w:i/>
      <w:iCs/>
      <w:color w:val="000000" w:themeColor="text1"/>
      <w:sz w:val="20"/>
    </w:rPr>
  </w:style>
  <w:style w:type="paragraph" w:customStyle="1" w:styleId="AnnexH2">
    <w:name w:val="Annex H2"/>
    <w:next w:val="Para0"/>
    <w:uiPriority w:val="21"/>
    <w:qFormat/>
    <w:rsid w:val="00D75E08"/>
    <w:pPr>
      <w:keepNext/>
      <w:spacing w:before="360" w:after="240" w:line="320" w:lineRule="exact"/>
      <w:outlineLvl w:val="1"/>
    </w:pPr>
    <w:rPr>
      <w:b/>
      <w:color w:val="348E8C" w:themeColor="accent1"/>
      <w:sz w:val="24"/>
    </w:rPr>
  </w:style>
  <w:style w:type="paragraph" w:customStyle="1" w:styleId="AnnexH3">
    <w:name w:val="Annex H3"/>
    <w:next w:val="Para0"/>
    <w:uiPriority w:val="21"/>
    <w:qFormat/>
    <w:rsid w:val="00D75E08"/>
    <w:pPr>
      <w:keepNext/>
      <w:keepLines/>
      <w:spacing w:before="280" w:after="180" w:line="280" w:lineRule="exact"/>
      <w:outlineLvl w:val="2"/>
    </w:pPr>
    <w:rPr>
      <w:b/>
      <w:i/>
      <w:color w:val="2A2E33"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1"/>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uiPriority w:val="99"/>
    <w:semiHidden/>
    <w:unhideWhenUsed/>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basedOn w:val="DefaultParagraphFont"/>
    <w:uiPriority w:val="99"/>
    <w:semiHidden/>
    <w:unhideWhenUsed/>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2"/>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3"/>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348E8C"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348E8C"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348E8C"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348E8C"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70C0"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348E8C" w:themeColor="accent1"/>
          <w:left w:val="nil"/>
          <w:bottom w:val="single" w:sz="8" w:space="0" w:color="348E8C"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C5EAE9"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276A68" w:themeColor="accent1" w:themeShade="BF"/>
    </w:rPr>
    <w:tblPr>
      <w:tblStyleRowBandSize w:val="1"/>
      <w:tblStyleColBandSize w:val="1"/>
      <w:tblBorders>
        <w:top w:val="single" w:sz="8" w:space="0" w:color="348E8C" w:themeColor="accent1"/>
        <w:bottom w:val="single" w:sz="8" w:space="0" w:color="348E8C" w:themeColor="accent1"/>
      </w:tblBorders>
    </w:tblPr>
    <w:tblStylePr w:type="firstRow">
      <w:pPr>
        <w:spacing w:before="0" w:after="0" w:line="240" w:lineRule="auto"/>
      </w:pPr>
      <w:rPr>
        <w:b/>
        <w:bCs/>
      </w:rPr>
      <w:tblPr/>
      <w:tcPr>
        <w:tcBorders>
          <w:top w:val="single" w:sz="8" w:space="0" w:color="348E8C" w:themeColor="accent1"/>
          <w:left w:val="nil"/>
          <w:bottom w:val="single" w:sz="8" w:space="0" w:color="348E8C" w:themeColor="accent1"/>
          <w:right w:val="nil"/>
          <w:insideH w:val="nil"/>
          <w:insideV w:val="nil"/>
        </w:tcBorders>
      </w:tcPr>
    </w:tblStylePr>
    <w:tblStylePr w:type="lastRow">
      <w:pPr>
        <w:spacing w:before="0" w:after="0" w:line="240" w:lineRule="auto"/>
      </w:pPr>
      <w:rPr>
        <w:b/>
        <w:bCs/>
      </w:rPr>
      <w:tblPr/>
      <w:tcPr>
        <w:tcBorders>
          <w:top w:val="single" w:sz="8" w:space="0" w:color="348E8C" w:themeColor="accent1"/>
          <w:left w:val="nil"/>
          <w:bottom w:val="single" w:sz="8" w:space="0" w:color="348E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AE9" w:themeFill="accent1" w:themeFillTint="3F"/>
      </w:tcPr>
    </w:tblStylePr>
    <w:tblStylePr w:type="band1Horz">
      <w:tblPr/>
      <w:tcPr>
        <w:tcBorders>
          <w:left w:val="nil"/>
          <w:right w:val="nil"/>
          <w:insideH w:val="nil"/>
          <w:insideV w:val="nil"/>
        </w:tcBorders>
        <w:shd w:val="clear" w:color="auto" w:fill="C5EAE9" w:themeFill="accent1" w:themeFillTint="3F"/>
      </w:tcPr>
    </w:tblStylePr>
  </w:style>
  <w:style w:type="paragraph" w:customStyle="1" w:styleId="ParaOpener">
    <w:name w:val="Para Opener"/>
    <w:next w:val="Para0"/>
    <w:uiPriority w:val="11"/>
    <w:qFormat/>
    <w:rsid w:val="00D75E08"/>
    <w:pPr>
      <w:spacing w:before="240" w:after="240" w:line="320" w:lineRule="exact"/>
      <w:jc w:val="both"/>
    </w:pPr>
    <w:rPr>
      <w:rFonts w:asciiTheme="majorHAnsi" w:hAnsiTheme="majorHAnsi"/>
      <w:color w:val="348E8C"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348E8C"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348E8C" w:themeColor="accent1"/>
      <w:sz w:val="28"/>
    </w:rPr>
  </w:style>
  <w:style w:type="paragraph" w:customStyle="1" w:styleId="Author">
    <w:name w:val="Author"/>
    <w:next w:val="Para0"/>
    <w:uiPriority w:val="6"/>
    <w:qFormat/>
    <w:rsid w:val="00D75E08"/>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D75E08"/>
    <w:pPr>
      <w:pageBreakBefore/>
      <w:spacing w:after="480" w:line="560" w:lineRule="exact"/>
      <w:outlineLvl w:val="1"/>
    </w:pPr>
    <w:rPr>
      <w:rFonts w:asciiTheme="majorHAnsi" w:eastAsiaTheme="majorEastAsia" w:hAnsiTheme="majorHAnsi" w:cstheme="majorBidi"/>
      <w:b/>
      <w:color w:val="348E8C" w:themeColor="accent1"/>
      <w:sz w:val="52"/>
      <w:szCs w:val="26"/>
    </w:rPr>
  </w:style>
  <w:style w:type="paragraph" w:customStyle="1" w:styleId="BoxHeading2">
    <w:name w:val="Box Heading 2"/>
    <w:next w:val="Para0"/>
    <w:uiPriority w:val="14"/>
    <w:qFormat/>
    <w:rsid w:val="00D75E08"/>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348E8C" w:themeColor="accent1"/>
        <w:bottom w:val="single" w:sz="12" w:space="0" w:color="348E8C"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348E8C"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348E8C"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rsid w:val="00F47BCF"/>
    <w:pPr>
      <w:outlineLvl w:val="2"/>
    </w:pPr>
  </w:style>
  <w:style w:type="paragraph" w:styleId="NormalWeb">
    <w:name w:val="Normal (Web)"/>
    <w:basedOn w:val="Normal"/>
    <w:uiPriority w:val="99"/>
    <w:semiHidden/>
    <w:unhideWhenUsed/>
    <w:rsid w:val="00D75E08"/>
    <w:pPr>
      <w:spacing w:before="100" w:beforeAutospacing="1" w:after="100" w:afterAutospacing="1"/>
      <w:jc w:val="left"/>
    </w:pPr>
    <w:rPr>
      <w:rFonts w:eastAsia="Times New Roman"/>
      <w:sz w:val="24"/>
      <w:szCs w:val="24"/>
      <w:lang w:val="en-US"/>
    </w:rPr>
  </w:style>
  <w:style w:type="paragraph" w:styleId="CommentText">
    <w:name w:val="annotation text"/>
    <w:basedOn w:val="Normal"/>
    <w:link w:val="CommentTextChar"/>
    <w:uiPriority w:val="99"/>
    <w:unhideWhenUsed/>
    <w:rsid w:val="00F20F73"/>
    <w:rPr>
      <w:sz w:val="20"/>
      <w:szCs w:val="20"/>
    </w:rPr>
  </w:style>
  <w:style w:type="character" w:customStyle="1" w:styleId="CommentTextChar">
    <w:name w:val="Comment Text Char"/>
    <w:basedOn w:val="DefaultParagraphFont"/>
    <w:link w:val="CommentText"/>
    <w:uiPriority w:val="99"/>
    <w:rsid w:val="00F20F73"/>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4D47C6"/>
    <w:rPr>
      <w:color w:val="605E5C"/>
      <w:shd w:val="clear" w:color="auto" w:fill="E1DFDD"/>
    </w:rPr>
  </w:style>
  <w:style w:type="paragraph" w:styleId="Revision">
    <w:name w:val="Revision"/>
    <w:hidden/>
    <w:uiPriority w:val="99"/>
    <w:semiHidden/>
    <w:rsid w:val="00091266"/>
    <w:pPr>
      <w:spacing w:after="0" w:line="24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BE1DD7"/>
    <w:rPr>
      <w:sz w:val="16"/>
      <w:szCs w:val="16"/>
    </w:rPr>
  </w:style>
  <w:style w:type="paragraph" w:styleId="CommentSubject">
    <w:name w:val="annotation subject"/>
    <w:basedOn w:val="CommentText"/>
    <w:next w:val="CommentText"/>
    <w:link w:val="CommentSubjectChar"/>
    <w:uiPriority w:val="99"/>
    <w:semiHidden/>
    <w:unhideWhenUsed/>
    <w:rsid w:val="00BE1DD7"/>
    <w:rPr>
      <w:b/>
      <w:bCs/>
    </w:rPr>
  </w:style>
  <w:style w:type="character" w:customStyle="1" w:styleId="CommentSubjectChar">
    <w:name w:val="Comment Subject Char"/>
    <w:basedOn w:val="CommentTextChar"/>
    <w:link w:val="CommentSubject"/>
    <w:uiPriority w:val="99"/>
    <w:semiHidden/>
    <w:rsid w:val="00BE1DD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5615">
      <w:bodyDiv w:val="1"/>
      <w:marLeft w:val="0"/>
      <w:marRight w:val="0"/>
      <w:marTop w:val="0"/>
      <w:marBottom w:val="0"/>
      <w:divBdr>
        <w:top w:val="none" w:sz="0" w:space="0" w:color="auto"/>
        <w:left w:val="none" w:sz="0" w:space="0" w:color="auto"/>
        <w:bottom w:val="none" w:sz="0" w:space="0" w:color="auto"/>
        <w:right w:val="none" w:sz="0" w:space="0" w:color="auto"/>
      </w:divBdr>
    </w:div>
    <w:div w:id="854424148">
      <w:bodyDiv w:val="1"/>
      <w:marLeft w:val="0"/>
      <w:marRight w:val="0"/>
      <w:marTop w:val="0"/>
      <w:marBottom w:val="0"/>
      <w:divBdr>
        <w:top w:val="none" w:sz="0" w:space="0" w:color="auto"/>
        <w:left w:val="none" w:sz="0" w:space="0" w:color="auto"/>
        <w:bottom w:val="none" w:sz="0" w:space="0" w:color="auto"/>
        <w:right w:val="none" w:sz="0" w:space="0" w:color="auto"/>
      </w:divBdr>
    </w:div>
    <w:div w:id="10165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ri.co.me/law-on-the-state-audit-institution" TargetMode="External"/><Relationship Id="rId3" Type="http://schemas.openxmlformats.org/officeDocument/2006/relationships/hyperlink" Target="https://sirc.idi.no/document-database/documents/external-publications/5-un-resolution-69-228" TargetMode="External"/><Relationship Id="rId7" Type="http://schemas.openxmlformats.org/officeDocument/2006/relationships/hyperlink" Target="https://sirc.idi.no/principles-of-sai-independence/principle-2" TargetMode="External"/><Relationship Id="rId2" Type="http://schemas.openxmlformats.org/officeDocument/2006/relationships/hyperlink" Target="http://www.sigmaweb.org/publications/Monitoring-Report-Executive-Summary-2021-Montenegro.pdf" TargetMode="External"/><Relationship Id="rId1" Type="http://schemas.openxmlformats.org/officeDocument/2006/relationships/hyperlink" Target="http://www.dri.co.me/law-on-the-state-audit-institution" TargetMode="External"/><Relationship Id="rId6" Type="http://schemas.openxmlformats.org/officeDocument/2006/relationships/hyperlink" Target="https://www.intosai.org/fileadmin/downloads/documents/open_access/INT_P_1_u_P_10/INTOSAI_P_10_en_2019.pdf" TargetMode="External"/><Relationship Id="rId5" Type="http://schemas.openxmlformats.org/officeDocument/2006/relationships/hyperlink" Target="https://sirc.idi.no/about/what-is-sai-independence" TargetMode="External"/><Relationship Id="rId10" Type="http://schemas.openxmlformats.org/officeDocument/2006/relationships/hyperlink" Target="https://op.europa.eu/webpub/eca/book-state-audit/en/" TargetMode="External"/><Relationship Id="rId4" Type="http://schemas.openxmlformats.org/officeDocument/2006/relationships/hyperlink" Target="https://www.intosai.org/fileadmin/downloads/documents/open_access/INT_P_1_u_P_10/INTOSAI_P_1_en_2019.pdf" TargetMode="External"/><Relationship Id="rId9" Type="http://schemas.openxmlformats.org/officeDocument/2006/relationships/hyperlink" Target="https://op.europa.eu/webpub/eca/book-state-audit/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theme/theme1.xml><?xml version="1.0" encoding="utf-8"?>
<a:theme xmlns:a="http://schemas.openxmlformats.org/drawingml/2006/main" name="Office Theme">
  <a:themeElements>
    <a:clrScheme name="SIGMA O.N.E Author">
      <a:dk1>
        <a:sysClr val="windowText" lastClr="000000"/>
      </a:dk1>
      <a:lt1>
        <a:sysClr val="window" lastClr="FFFFFF"/>
      </a:lt1>
      <a:dk2>
        <a:srgbClr val="2A2E33"/>
      </a:dk2>
      <a:lt2>
        <a:srgbClr val="EEECE1"/>
      </a:lt2>
      <a:accent1>
        <a:srgbClr val="348E8C"/>
      </a:accent1>
      <a:accent2>
        <a:srgbClr val="FFFFFF"/>
      </a:accent2>
      <a:accent3>
        <a:srgbClr val="EEECE1"/>
      </a:accent3>
      <a:accent4>
        <a:srgbClr val="DA1A5D"/>
      </a:accent4>
      <a:accent5>
        <a:srgbClr val="348E8C"/>
      </a:accent5>
      <a:accent6>
        <a:srgbClr val="F19520"/>
      </a:accent6>
      <a:hlink>
        <a:srgbClr val="0070C0"/>
      </a:hlink>
      <a:folHlink>
        <a:srgbClr val="804987"/>
      </a:folHlink>
    </a:clrScheme>
    <a:fontScheme name="SIGMA Fonts">
      <a:majorFont>
        <a:latin typeface="Segoe U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670626-5787-4929-ae19-79e0a67ebb89">
      <Terms xmlns="http://schemas.microsoft.com/office/infopath/2007/PartnerControls"/>
    </lcf76f155ced4ddcb4097134ff3c332f>
    <TaxCatchAll xmlns="ef71efec-7f60-4b6e-8cc2-685328fd58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D2537EC058D147A2484F94658C71BA" ma:contentTypeVersion="11" ma:contentTypeDescription="Create a new document." ma:contentTypeScope="" ma:versionID="650d9abbc14c92ee73b8f33a150780af">
  <xsd:schema xmlns:xsd="http://www.w3.org/2001/XMLSchema" xmlns:xs="http://www.w3.org/2001/XMLSchema" xmlns:p="http://schemas.microsoft.com/office/2006/metadata/properties" xmlns:ns2="5d670626-5787-4929-ae19-79e0a67ebb89" xmlns:ns3="ef71efec-7f60-4b6e-8cc2-685328fd588c" targetNamespace="http://schemas.microsoft.com/office/2006/metadata/properties" ma:root="true" ma:fieldsID="403c4dd9dfaa48a7cf7598c39afe33ed" ns2:_="" ns3:_="">
    <xsd:import namespace="5d670626-5787-4929-ae19-79e0a67ebb89"/>
    <xsd:import namespace="ef71efec-7f60-4b6e-8cc2-685328fd58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70626-5787-4929-ae19-79e0a67eb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2addfa-c26d-4e3b-b240-f6c3bd38282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1efec-7f60-4b6e-8cc2-685328fd58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f666ce8-c58e-4557-85ca-c4592c6d6e65}" ma:internalName="TaxCatchAll" ma:showField="CatchAllData" ma:web="ef71efec-7f60-4b6e-8cc2-685328fd58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oecd-en.xsl" StyleName="OECD English" Version="20220221"/>
</file>

<file path=customXml/itemProps1.xml><?xml version="1.0" encoding="utf-8"?>
<ds:datastoreItem xmlns:ds="http://schemas.openxmlformats.org/officeDocument/2006/customXml" ds:itemID="{CB84A46D-889A-4CBF-BE0F-4FDF6DADB08F}">
  <ds:schemaRefs>
    <ds:schemaRef ds:uri="http://schemas.microsoft.com/office/2006/metadata/properties"/>
    <ds:schemaRef ds:uri="http://schemas.microsoft.com/office/infopath/2007/PartnerControls"/>
    <ds:schemaRef ds:uri="5d670626-5787-4929-ae19-79e0a67ebb89"/>
    <ds:schemaRef ds:uri="ef71efec-7f60-4b6e-8cc2-685328fd588c"/>
  </ds:schemaRefs>
</ds:datastoreItem>
</file>

<file path=customXml/itemProps2.xml><?xml version="1.0" encoding="utf-8"?>
<ds:datastoreItem xmlns:ds="http://schemas.openxmlformats.org/officeDocument/2006/customXml" ds:itemID="{84EB8A1C-C3DE-4218-8149-93736A3ABB14}">
  <ds:schemaRefs>
    <ds:schemaRef ds:uri="http://schemas.microsoft.com/sharepoint/v3/contenttype/forms"/>
  </ds:schemaRefs>
</ds:datastoreItem>
</file>

<file path=customXml/itemProps3.xml><?xml version="1.0" encoding="utf-8"?>
<ds:datastoreItem xmlns:ds="http://schemas.openxmlformats.org/officeDocument/2006/customXml" ds:itemID="{082748A6-9EEA-46B8-BDCB-6D7841B5E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70626-5787-4929-ae19-79e0a67ebb89"/>
    <ds:schemaRef ds:uri="ef71efec-7f60-4b6e-8cc2-685328fd5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AD8BA-488F-4B35-A9A2-410473E0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ODPub</Template>
  <TotalTime>1</TotalTime>
  <Pages>9</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[Title]</vt:lpstr>
    </vt:vector>
  </TitlesOfParts>
  <Company>OECD</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BRETECHE Bianca</dc:creator>
  <cp:keywords>DOCUMENT CODE</cp:keywords>
  <dc:description/>
  <cp:lastModifiedBy>Marija Zugic</cp:lastModifiedBy>
  <cp:revision>3</cp:revision>
  <dcterms:created xsi:type="dcterms:W3CDTF">2023-03-31T06:55:00Z</dcterms:created>
  <dcterms:modified xsi:type="dcterms:W3CDTF">2023-03-31T06:55:00Z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3.22</vt:lpwstr>
  </property>
  <property fmtid="{D5CDD505-2E9C-101B-9397-08002B2CF9AE}" pid="3" name="OECDTemplateVersionOriginal">
    <vt:lpwstr>3.22</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97DD3F53B147727CC2D31305670F03D9E3AABA27A3B7273E4B114B62EA86EDB8</vt:lpwstr>
  </property>
  <property fmtid="{D5CDD505-2E9C-101B-9397-08002B2CF9AE}" pid="7" name="OecdDocumentCoteLangHash">
    <vt:lpwstr/>
  </property>
  <property fmtid="{D5CDD505-2E9C-101B-9397-08002B2CF9AE}" pid="8" name="ContentTypeId">
    <vt:lpwstr>0x010100FAD2537EC058D147A2484F94658C71BA</vt:lpwstr>
  </property>
  <property fmtid="{D5CDD505-2E9C-101B-9397-08002B2CF9AE}" pid="9" name="MediaServiceImageTags">
    <vt:lpwstr/>
  </property>
</Properties>
</file>